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2C230" w:sz="24"/>
              <w:right w:val="none" w:color="FFFFFF" w:sz="0"/>
            </w:tcBorders>
            <w:shd w:fill="0B4F6C"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MW14 — STAKEHOLDER MAP · HRM</w:t>
            </w:r>
          </w:p>
          <w:p>
            <w:pPr>
              <w:spacing w:after="40" w:line="250"/>
            </w:pPr>
            <w:r>
              <w:rPr>
                <w:rFonts w:ascii="Arial" w:cs="Arial" w:eastAsia="Arial" w:hAnsi="Arial"/>
                <w:b/>
                <w:bCs/>
                <w:color w:val="FFFFFF"/>
                <w:sz w:val="34"/>
                <w:szCs w:val="34"/>
              </w:rPr>
              <w:t xml:space="preserve">Who is affected by the absence app?</w:t>
            </w:r>
          </w:p>
          <w:p>
            <w:pPr>
              <w:spacing w:after="0"/>
            </w:pPr>
            <w:r>
              <w:rPr>
                <w:rFonts w:ascii="Arial" w:cs="Arial" w:eastAsia="Arial" w:hAnsi="Arial"/>
                <w:color w:val="DDE6F0"/>
                <w:sz w:val="19"/>
                <w:szCs w:val="19"/>
              </w:rPr>
              <w:t xml:space="preserve">Case: Peelland Regional Bus</w:t>
            </w:r>
          </w:p>
        </w:tc>
        <w:tc>
          <w:tcPr>
            <w:tcW w:type="dxa" w:w="2606"/>
            <w:tcBorders>
              <w:top w:val="none" w:color="FFFFFF" w:sz="0"/>
              <w:left w:val="none" w:color="FFFFFF" w:sz="0"/>
              <w:bottom w:val="single" w:color="F2C230"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color w:val="5F5E5A"/>
          <w:sz w:val="17"/>
          <w:szCs w:val="17"/>
        </w:rPr>
        <w:t xml:space="preserve">     Time: 30 min     Group: 2–4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2C230" w:sz="6"/>
              <w:left w:val="single" w:color="F2C230" w:sz="6"/>
              <w:bottom w:val="single" w:color="F2C230" w:sz="6"/>
              <w:right w:val="single" w:color="F2C230"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5EFF5"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Peelland Regional Bus has a problem: nine per cent of its drivers are ill every week. Schedules grind to a halt and journeys are cancelled. Director Marleen Kuipers sees a solution: an absence app. Drivers report sick via the app and answer one question every morning: “How are you doing?” If the answers are unusual, the team leader receives an alert.</w:t>
            </w:r>
          </w:p>
          <w:p>
            <w:pPr>
              <w:spacing w:after="100" w:line="288"/>
            </w:pPr>
            <w:r>
              <w:rPr>
                <w:rFonts w:ascii="Arial" w:cs="Arial" w:eastAsia="Arial" w:hAnsi="Arial"/>
                <w:sz w:val="21"/>
                <w:szCs w:val="21"/>
              </w:rPr>
              <w:t xml:space="preserve">HR adviser Daan Verhoeven has to prepare the introduction. The app must go live on 1 January. The planners are pleased: finally an overview. One team leader wonders whether he now also has to intervene in private problems. In the canteen Daan hears a driver say: “Soon I’ll have to explain why I sleep badly.”</w:t>
            </w:r>
          </w:p>
          <w:p>
            <w:pPr>
              <w:spacing w:after="40" w:line="288"/>
            </w:pPr>
            <w:r>
              <w:rPr>
                <w:rFonts w:ascii="Arial" w:cs="Arial" w:eastAsia="Arial" w:hAnsi="Arial"/>
                <w:sz w:val="21"/>
                <w:szCs w:val="21"/>
              </w:rPr>
              <w:t xml:space="preserve">The employee council knows nothing yet. Nor does the occupational physician. Daan feels he is missing something. Who is actually affected by this decision? And who is not being asked? Before he gives his advice, he first makes an overview.</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Underline every person or group that is mentioned or involved.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Place them in three rings: directly involved, indirectly involved, silent or absent.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For each party, write down what is at stake for them.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Fill in the box “Who has no voice here?”.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Compare with another pair. What did the others see that you missed?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STEPS 2 AND 3 — THE MAP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4406"/>
      </w:tblGrid>
      <w:tr>
        <w:trPr>
          <w:tblHeader/>
        </w:trPr>
        <w:tc>
          <w:tcPr>
            <w:tcW w:type="dxa" w:w="2100"/>
            <w:tcBorders>
              <w:top w:val="single" w:color="BFC5CC" w:sz="4"/>
              <w:left w:val="single" w:color="BFC5CC" w:sz="4"/>
              <w:bottom w:val="single" w:color="BFC5CC" w:sz="4"/>
              <w:right w:val="single" w:color="BFC5CC" w:sz="4"/>
            </w:tcBorders>
            <w:shd w:fill="0B4F6C"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Ring</w:t>
            </w:r>
          </w:p>
        </w:tc>
        <w:tc>
          <w:tcPr>
            <w:tcW w:type="dxa" w:w="3400"/>
            <w:tcBorders>
              <w:top w:val="single" w:color="BFC5CC" w:sz="4"/>
              <w:left w:val="single" w:color="BFC5CC" w:sz="4"/>
              <w:bottom w:val="single" w:color="BFC5CC" w:sz="4"/>
              <w:right w:val="single" w:color="BFC5CC" w:sz="4"/>
            </w:tcBorders>
            <w:shd w:fill="0B4F6C"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Who?</w:t>
            </w:r>
          </w:p>
        </w:tc>
        <w:tc>
          <w:tcPr>
            <w:tcW w:type="dxa" w:w="4406"/>
            <w:tcBorders>
              <w:top w:val="single" w:color="BFC5CC" w:sz="4"/>
              <w:left w:val="single" w:color="BFC5CC" w:sz="4"/>
              <w:bottom w:val="single" w:color="BFC5CC" w:sz="4"/>
              <w:right w:val="single" w:color="BFC5CC" w:sz="4"/>
            </w:tcBorders>
            <w:shd w:fill="0B4F6C"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What is at stake for them?</w:t>
            </w:r>
          </w:p>
        </w:tc>
      </w:tr>
      <w:tr>
        <w:trPr>
          <w:trHeight w:val="1250" w:hRule="atLeast"/>
        </w:trPr>
        <w:tc>
          <w:tcPr>
            <w:tcW w:type="dxa" w:w="2100"/>
            <w:tcBorders>
              <w:top w:val="single" w:color="BFC5CC" w:sz="4"/>
              <w:left w:val="single" w:color="BFC5CC" w:sz="4"/>
              <w:bottom w:val="single" w:color="BFC5CC" w:sz="4"/>
              <w:right w:val="single" w:color="BFC5CC" w:sz="4"/>
            </w:tcBorders>
            <w:shd w:fill="E5EFF5" w:color="auto" w:val="clear"/>
            <w:tcMar>
              <w:top w:type="dxa" w:w="80"/>
              <w:left w:type="dxa" w:w="110"/>
              <w:bottom w:type="dxa" w:w="80"/>
              <w:right w:type="dxa" w:w="110"/>
            </w:tcMar>
          </w:tcPr>
          <w:p>
            <w:pPr>
              <w:spacing w:after="20"/>
            </w:pPr>
            <w:r>
              <w:rPr>
                <w:rFonts w:ascii="Arial" w:cs="Arial" w:eastAsia="Arial" w:hAnsi="Arial"/>
                <w:b/>
                <w:bCs/>
                <w:color w:val="0B4F6C"/>
                <w:sz w:val="19"/>
                <w:szCs w:val="19"/>
              </w:rPr>
              <w:t xml:space="preserve">Directly involved</w:t>
            </w:r>
          </w:p>
          <w:p>
            <w:pPr>
              <w:spacing w:after="0" w:line="220"/>
            </w:pPr>
            <w:r>
              <w:rPr>
                <w:rFonts w:ascii="Arial" w:cs="Arial" w:eastAsia="Arial" w:hAnsi="Arial"/>
                <w:i/>
                <w:iCs/>
                <w:color w:val="5F5E5A"/>
                <w:sz w:val="15"/>
                <w:szCs w:val="15"/>
              </w:rPr>
              <w:t xml:space="preserve">They carry it out or feel it straight away.</w:t>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1250" w:hRule="atLeast"/>
        </w:trPr>
        <w:tc>
          <w:tcPr>
            <w:tcW w:type="dxa" w:w="2100"/>
            <w:tcBorders>
              <w:top w:val="single" w:color="BFC5CC" w:sz="4"/>
              <w:left w:val="single" w:color="BFC5CC" w:sz="4"/>
              <w:bottom w:val="single" w:color="BFC5CC" w:sz="4"/>
              <w:right w:val="single" w:color="BFC5CC" w:sz="4"/>
            </w:tcBorders>
            <w:shd w:fill="E5EFF5" w:color="auto" w:val="clear"/>
            <w:tcMar>
              <w:top w:type="dxa" w:w="80"/>
              <w:left w:type="dxa" w:w="110"/>
              <w:bottom w:type="dxa" w:w="80"/>
              <w:right w:type="dxa" w:w="110"/>
            </w:tcMar>
          </w:tcPr>
          <w:p>
            <w:pPr>
              <w:spacing w:after="20"/>
            </w:pPr>
            <w:r>
              <w:rPr>
                <w:rFonts w:ascii="Arial" w:cs="Arial" w:eastAsia="Arial" w:hAnsi="Arial"/>
                <w:b/>
                <w:bCs/>
                <w:color w:val="0B4F6C"/>
                <w:sz w:val="19"/>
                <w:szCs w:val="19"/>
              </w:rPr>
              <w:t xml:space="preserve">Indirectly involved</w:t>
            </w:r>
          </w:p>
          <w:p>
            <w:pPr>
              <w:spacing w:after="0" w:line="220"/>
            </w:pPr>
            <w:r>
              <w:rPr>
                <w:rFonts w:ascii="Arial" w:cs="Arial" w:eastAsia="Arial" w:hAnsi="Arial"/>
                <w:i/>
                <w:iCs/>
                <w:color w:val="5F5E5A"/>
                <w:sz w:val="15"/>
                <w:szCs w:val="15"/>
              </w:rPr>
              <w:t xml:space="preserve">They notice the consequences later or at a distance.</w:t>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1250" w:hRule="atLeast"/>
        </w:trPr>
        <w:tc>
          <w:tcPr>
            <w:tcW w:type="dxa" w:w="2100"/>
            <w:tcBorders>
              <w:top w:val="single" w:color="BFC5CC" w:sz="4"/>
              <w:left w:val="single" w:color="BFC5CC" w:sz="4"/>
              <w:bottom w:val="single" w:color="BFC5CC" w:sz="4"/>
              <w:right w:val="single" w:color="BFC5CC" w:sz="4"/>
            </w:tcBorders>
            <w:shd w:fill="E5EFF5" w:color="auto" w:val="clear"/>
            <w:tcMar>
              <w:top w:type="dxa" w:w="80"/>
              <w:left w:type="dxa" w:w="110"/>
              <w:bottom w:type="dxa" w:w="80"/>
              <w:right w:type="dxa" w:w="110"/>
            </w:tcMar>
          </w:tcPr>
          <w:p>
            <w:pPr>
              <w:spacing w:after="20"/>
            </w:pPr>
            <w:r>
              <w:rPr>
                <w:rFonts w:ascii="Arial" w:cs="Arial" w:eastAsia="Arial" w:hAnsi="Arial"/>
                <w:b/>
                <w:bCs/>
                <w:color w:val="0B4F6C"/>
                <w:sz w:val="19"/>
                <w:szCs w:val="19"/>
              </w:rPr>
              <w:t xml:space="preserve">Silent or absent</w:t>
            </w:r>
          </w:p>
          <w:p>
            <w:pPr>
              <w:spacing w:after="0" w:line="220"/>
            </w:pPr>
            <w:r>
              <w:rPr>
                <w:rFonts w:ascii="Arial" w:cs="Arial" w:eastAsia="Arial" w:hAnsi="Arial"/>
                <w:i/>
                <w:iCs/>
                <w:color w:val="5F5E5A"/>
                <w:sz w:val="15"/>
                <w:szCs w:val="15"/>
              </w:rPr>
              <w:t xml:space="preserve">They are not present, but are affected.</w:t>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 4 — WHO HAS NO VOICE HERE?</w:t>
      </w:r>
    </w:p>
    <w:p>
      <w:pPr>
        <w:pBdr>
          <w:bottom w:val="single" w:color="C9CED4" w:sz="4" w:space="1"/>
        </w:pBdr>
        <w:spacing w:after="0" w:before="0" w:line="360" w:lineRule="exact"/>
        <w:ind w:right="0"/>
      </w:pPr>
      <w:r>
        <w:rPr>
          <w:rFonts w:ascii="Arial" w:cs="Arial" w:eastAsia="Arial" w:hAnsi="Arial"/>
          <w:sz w:val="21"/>
          <w:szCs w:val="21"/>
        </w:rPr>
        <w:t xml:space="preserve"/>
      </w:r>
    </w:p>
    <w:p>
      <w:pPr>
        <w:pBdr>
          <w:bottom w:val="single" w:color="C9CED4" w:sz="4" w:space="1"/>
        </w:pBdr>
        <w:spacing w:after="0" w:before="0" w:line="360" w:lineRule="exact"/>
        <w:ind w:right="2"/>
      </w:pPr>
      <w:r>
        <w:rPr>
          <w:rFonts w:ascii="Arial" w:cs="Arial" w:eastAsia="Arial" w:hAnsi="Arial"/>
          <w:sz w:val="21"/>
          <w:szCs w:val="21"/>
        </w:rPr>
        <w:t xml:space="preserve"/>
      </w:r>
    </w:p>
    <w:p>
      <w:pPr>
        <w:pBdr>
          <w:bottom w:val="single" w:color="C9CED4" w:sz="4" w:space="1"/>
        </w:pBdr>
        <w:spacing w:after="0" w:before="0" w:line="36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2F7FC1" w:color="auto" w:val="clear"/>
        </w:rPr>
        <w:t xml:space="preserve"> SEEING </w:t>
      </w:r>
      <w:r>
        <w:rPr>
          <w:rFonts w:ascii="Arial" w:cs="Arial" w:eastAsia="Arial" w:hAnsi="Arial"/>
          <w:sz w:val="20"/>
          <w:szCs w:val="20"/>
        </w:rPr>
        <w:t xml:space="preserve">  Which party did you only see late? What does that say about where your gaze as an HR professional naturally goes?</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pBdr>
          <w:bottom w:val="single" w:color="C9CED4" w:sz="4" w:space="1"/>
        </w:pBdr>
        <w:spacing w:after="0" w:before="0" w:line="340" w:lineRule="exact"/>
        <w:ind w:right="6"/>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stakeholder map (Freeman, 1984).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da39a69e4704bcc5ad0dbe7ddba714f8f91cce.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MW14 Who is affected by the absence app? (Higher education HRM, EN, student version)</dc:title>
  <dc:creator>Moreel Vakmanschap</dc:creator>
  <cp:lastModifiedBy>Moral Craftsmanship</cp:lastModifiedBy>
  <cp:revision>1</cp:revision>
  <dcterms:created xsi:type="dcterms:W3CDTF">2026-09-29T09:52:04.390Z</dcterms:created>
  <dcterms:modified xsi:type="dcterms:W3CDTF">2026-09-29T09:52:04.391Z</dcterms:modified>
  <dc:language>en-GB</dc:language>
</cp:coreProperties>
</file>

<file path=docProps/custom.xml><?xml version="1.0" encoding="utf-8"?>
<Properties xmlns="http://schemas.openxmlformats.org/officeDocument/2006/custom-properties" xmlns:vt="http://schemas.openxmlformats.org/officeDocument/2006/docPropsVTypes"/>
</file>