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2C230" w:sz="24"/>
              <w:right w:val="none" w:color="FFFFFF" w:sz="0"/>
            </w:tcBorders>
            <w:shd w:fill="0B4F6C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MW14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Who is affected by the absence app?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2C230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map everyone involved in an organisational decision, including indirect and silent parties. (Seeing)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name for each party what is at stake. (Seeing)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reflect on their own blind spot when mapping interests. (Seeing)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the HR adviser weighs his own judgement against management’s wish and the expectations of drivers, planners, team leaders and the employee council.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the way the organisation introduces its absence policy. That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Micro: </w:t>
      </w:r>
      <w:r>
        <w:rPr>
          <w:rFonts w:ascii="Arial" w:cs="Arial" w:eastAsia="Arial" w:hAnsi="Arial"/>
          <w:sz w:val="19"/>
          <w:szCs w:val="19"/>
        </w:rPr>
        <w:t xml:space="preserve">there are many stakeholders and Daan is bound by his role between management and employees (decision rule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Macro: </w:t>
      </w:r>
      <w:r>
        <w:rPr>
          <w:rFonts w:ascii="Arial" w:cs="Arial" w:eastAsia="Arial" w:hAnsi="Arial"/>
          <w:sz w:val="19"/>
          <w:szCs w:val="19"/>
        </w:rPr>
        <w:t xml:space="preserve">privacy legislation plays a role in the background, but is not the core of the assignment (decision rule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student version printed double-sided, pens, timer. Pairs or groups of 3–4. Allow 30 minutes. Useful as a stepping stone to a method from the Weighing phase.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probe “the drivers”: which drivers? Think of differences in age, health and home situation.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Agreements beforehand: </w:t>
      </w:r>
      <w:r>
        <w:rPr>
          <w:rFonts w:ascii="Arial" w:cs="Arial" w:eastAsia="Arial" w:hAnsi="Arial"/>
          <w:sz w:val="19"/>
          <w:szCs w:val="19"/>
        </w:rPr>
        <w:t xml:space="preserve">do not use real names of colleagues or managers from internships or work.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only name parties from the text. Challenge them to also name parties that are not mentioned.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judge the app as good or bad. This method is about seeing, not judging.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box “silent or absent” stays empty. Give an example: drivers with a private problem they do not want to share.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POSSIBLE PARTIES ON THE MAP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6"/>
      </w:tblGrid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Ring</w:t>
            </w:r>
          </w:p>
        </w:tc>
        <w:tc>
          <w:tcPr>
            <w:tcW w:type="dxa" w:w="7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Examples from the case</w:t>
            </w:r>
          </w:p>
        </w:tc>
      </w:tr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5EF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0B4F6C"/>
                <w:sz w:val="17"/>
                <w:szCs w:val="17"/>
              </w:rPr>
              <w:t xml:space="preserve">Directly involved</w:t>
            </w:r>
          </w:p>
        </w:tc>
        <w:tc>
          <w:tcPr>
            <w:tcW w:type="dxa" w:w="7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Drivers, planners, team leaders, management, HR.</w:t>
            </w:r>
          </w:p>
        </w:tc>
      </w:tr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5EF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0B4F6C"/>
                <w:sz w:val="17"/>
                <w:szCs w:val="17"/>
              </w:rPr>
              <w:t xml:space="preserve">Indirectly involved</w:t>
            </w:r>
          </w:p>
        </w:tc>
        <w:tc>
          <w:tcPr>
            <w:tcW w:type="dxa" w:w="7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Employee council, occupational physician, app supplier, passengers affected by cancellations.</w:t>
            </w:r>
          </w:p>
        </w:tc>
      </w:tr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5EF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0B4F6C"/>
                <w:sz w:val="17"/>
                <w:szCs w:val="17"/>
              </w:rPr>
              <w:t xml:space="preserve">Silent or absent</w:t>
            </w:r>
          </w:p>
        </w:tc>
        <w:tc>
          <w:tcPr>
            <w:tcW w:type="dxa" w:w="7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Drivers’ families, future applicants, drivers with a private problem they dare not share.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Longer (45 min): </w:t>
      </w:r>
      <w:r>
        <w:rPr>
          <w:rFonts w:ascii="Arial" w:cs="Arial" w:eastAsia="Arial" w:hAnsi="Arial"/>
          <w:sz w:val="19"/>
          <w:szCs w:val="19"/>
        </w:rPr>
        <w:t xml:space="preserve">let groups present their maps to each other and add parties.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draw the rings on a shared whiteboard.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Large group: </w:t>
      </w:r>
      <w:r>
        <w:rPr>
          <w:rFonts w:ascii="Arial" w:cs="Arial" w:eastAsia="Arial" w:hAnsi="Arial"/>
          <w:sz w:val="19"/>
          <w:szCs w:val="19"/>
        </w:rPr>
        <w:t xml:space="preserve">make one map on a flip chart to which all groups add parties.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Freeman, R. E. (1984). Strategic management: A stakeholder approach. Pitman.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Meijer, K. (2023). Impossible and inevitable: Reconstructing the critique of business ethics [Doctoral dissertation, Tilburg University]. Ridderprint.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based on the micro-meso-macro thinking of Meijer (2023).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 based on: stakeholder map (Freeman, 1984).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MW14 Who is affected by the absence app? (Higher education HRM, EN, teacher version)</dc:title>
  <dc:creator>Moreel Vakmanschap</dc:creator>
  <cp:lastModifiedBy>Moral Craftsmanship</cp:lastModifiedBy>
  <cp:revision>1</cp:revision>
  <dcterms:created xsi:type="dcterms:W3CDTF">2026-09-29T09:46:30.873Z</dcterms:created>
  <dcterms:modified xsi:type="dcterms:W3CDTF">2026-09-29T09:46:30.873Z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