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D4A24C" w:sz="24"/>
              <w:right w:val="none" w:color="FFFFFF" w:sz="0"/>
            </w:tcBorders>
            <w:shd w:fill="33363B"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OPDRACHT MW18 — MORELE PRE-MORTEM · HRM</w:t>
            </w:r>
          </w:p>
          <w:p>
            <w:pPr>
              <w:spacing w:after="40" w:line="250"/>
            </w:pPr>
            <w:r>
              <w:rPr>
                <w:rFonts w:ascii="Arial" w:cs="Arial" w:eastAsia="Arial" w:hAnsi="Arial"/>
                <w:b/>
                <w:bCs/>
                <w:color w:val="FFFFFF"/>
                <w:sz w:val="34"/>
                <w:szCs w:val="34"/>
              </w:rPr>
              <w:t xml:space="preserve">De krantenkop van volgend jaar</w:t>
            </w:r>
          </w:p>
          <w:p>
            <w:pPr>
              <w:spacing w:after="0"/>
            </w:pPr>
            <w:r>
              <w:rPr>
                <w:rFonts w:ascii="Arial" w:cs="Arial" w:eastAsia="Arial" w:hAnsi="Arial"/>
                <w:color w:val="DDE6F0"/>
                <w:sz w:val="19"/>
                <w:szCs w:val="19"/>
              </w:rPr>
              <w:t xml:space="preserve">Casus: Woonzorggroep Vijverhof</w:t>
            </w:r>
          </w:p>
        </w:tc>
        <w:tc>
          <w:tcPr>
            <w:tcW w:type="dxa" w:w="2606"/>
            <w:tcBorders>
              <w:top w:val="none" w:color="FFFFFF" w:sz="0"/>
              <w:left w:val="none" w:color="FFFFFF" w:sz="0"/>
              <w:bottom w:val="single" w:color="D4A24C"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COMPLEXITEIT</w:t>
            </w:r>
          </w:p>
          <w:p>
            <w:pPr>
              <w:spacing w:after="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1D9E75" w:color="auto" w:val="clear"/>
        </w:rPr>
        <w:t xml:space="preserve"> HANDELEN </w:t>
      </w:r>
      <w:r>
        <w:rPr>
          <w:rFonts w:ascii="Arial" w:cs="Arial" w:eastAsia="Arial" w:hAnsi="Arial"/>
          <w:sz w:val="17"/>
          <w:szCs w:val="17"/>
        </w:rPr>
        <w:t xml:space="preserve">  </w:t>
      </w:r>
      <w:r>
        <w:rPr>
          <w:rFonts w:ascii="Arial" w:cs="Arial" w:eastAsia="Arial" w:hAnsi="Arial"/>
          <w:b/>
          <w:bCs/>
          <w:color w:val="FFFFFF"/>
          <w:sz w:val="17"/>
          <w:szCs w:val="17"/>
          <w:shd w:fill="E2694B" w:color="auto" w:val="clear"/>
        </w:rPr>
        <w:t xml:space="preserve"> VOLHOUDEN </w:t>
      </w:r>
      <w:r>
        <w:rPr>
          <w:rFonts w:ascii="Arial" w:cs="Arial" w:eastAsia="Arial" w:hAnsi="Arial"/>
          <w:sz w:val="17"/>
          <w:szCs w:val="17"/>
        </w:rPr>
        <w:t xml:space="preserve">  </w:t>
      </w:r>
      <w:r>
        <w:rPr>
          <w:rFonts w:ascii="Arial" w:cs="Arial" w:eastAsia="Arial" w:hAnsi="Arial"/>
          <w:color w:val="5F5E5A"/>
          <w:sz w:val="17"/>
          <w:szCs w:val="17"/>
        </w:rPr>
        <w:t xml:space="preserve">     Duur: 40 min     Groep: 3–6 studenten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D4A24C" w:sz="6"/>
              <w:left w:val="single" w:color="D4A24C" w:sz="6"/>
              <w:bottom w:val="single" w:color="D4A24C" w:sz="6"/>
              <w:right w:val="single" w:color="D4A24C"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FEEEA"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Woonzorggroep Vijverhof gaat zelfroosteren invoeren op alle twaalf locaties. Medewerkers kiezen hun diensten zelf in een app. Het idee komt van de directie: meer vrijheid en minder verzuim. Maandag is de startbijeenkomst. Iedereen is enthousiast. Er is taart en een filmpje.</w:t>
            </w:r>
          </w:p>
          <w:p>
            <w:pPr>
              <w:spacing w:after="100" w:line="288"/>
            </w:pPr>
            <w:r>
              <w:rPr>
                <w:rFonts w:ascii="Arial" w:cs="Arial" w:eastAsia="Arial" w:hAnsi="Arial"/>
                <w:sz w:val="21"/>
                <w:szCs w:val="21"/>
              </w:rPr>
              <w:t xml:space="preserve">HR-adviseur Fenna Bosman voelt een kleine twijfel. Wie kiest straks de nachtdiensten en de feestdagen? Wat gebeurt er met collega’s die minder handig zijn met de app, of die thuis niet zomaar kunnen ruilen? Niemand vraagt ernaar. De projectleider zegt: “We lossen problemen wel op als ze er zijn.”</w:t>
            </w:r>
          </w:p>
          <w:p>
            <w:pPr>
              <w:spacing w:after="40" w:line="288"/>
            </w:pPr>
            <w:r>
              <w:rPr>
                <w:rFonts w:ascii="Arial" w:cs="Arial" w:eastAsia="Arial" w:hAnsi="Arial"/>
                <w:sz w:val="21"/>
                <w:szCs w:val="21"/>
              </w:rPr>
              <w:t xml:space="preserve">Aan het einde vraagt Fenna: “Mag ik iets geks vragen? Stel dat er over een jaar in de regionale krant staat: Zorgpersoneel Vijverhof overbelast door nieuw rooster. Wat is er dan misgegaan?” Het blijft even stil. Dan begint iemand te praten.</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DE WERKWIJZE</w:t>
      </w:r>
    </w:p>
    <w:p>
      <w:pPr>
        <w:pStyle w:val="ListParagraph"/>
        <w:numPr>
          <w:ilvl w:val="0"/>
          <w:numId w:val="2"/>
        </w:numPr>
        <w:spacing w:after="50" w:line="264"/>
      </w:pPr>
      <w:r>
        <w:rPr>
          <w:rFonts w:ascii="Arial" w:cs="Arial" w:eastAsia="Arial" w:hAnsi="Arial"/>
          <w:sz w:val="20"/>
          <w:szCs w:val="20"/>
        </w:rPr>
        <w:t xml:space="preserve">Lees de casus. Bedenk in stilte de krantenkop van volgend jaar. </w:t>
      </w:r>
      <w:r>
        <w:rPr>
          <w:rFonts w:ascii="Arial" w:cs="Arial" w:eastAsia="Arial" w:hAnsi="Arial"/>
          <w:i/>
          <w:iCs/>
          <w:color w:val="5F5E5A"/>
          <w:sz w:val="18"/>
          <w:szCs w:val="18"/>
        </w:rPr>
        <w:t xml:space="preserve">(3 min)</w:t>
      </w:r>
    </w:p>
    <w:p>
      <w:pPr>
        <w:pStyle w:val="ListParagraph"/>
        <w:numPr>
          <w:ilvl w:val="0"/>
          <w:numId w:val="2"/>
        </w:numPr>
        <w:spacing w:after="50" w:line="264"/>
      </w:pPr>
      <w:r>
        <w:rPr>
          <w:rFonts w:ascii="Arial" w:cs="Arial" w:eastAsia="Arial" w:hAnsi="Arial"/>
          <w:sz w:val="20"/>
          <w:szCs w:val="20"/>
        </w:rPr>
        <w:t xml:space="preserve">Schrijf zelf drie dingen op die zijn misgegaan, elk op een eigen regel. </w:t>
      </w:r>
      <w:r>
        <w:rPr>
          <w:rFonts w:ascii="Arial" w:cs="Arial" w:eastAsia="Arial" w:hAnsi="Arial"/>
          <w:i/>
          <w:iCs/>
          <w:color w:val="5F5E5A"/>
          <w:sz w:val="18"/>
          <w:szCs w:val="18"/>
        </w:rPr>
        <w:t xml:space="preserve">(7 min)</w:t>
      </w:r>
    </w:p>
    <w:p>
      <w:pPr>
        <w:pStyle w:val="ListParagraph"/>
        <w:numPr>
          <w:ilvl w:val="0"/>
          <w:numId w:val="2"/>
        </w:numPr>
        <w:spacing w:after="50" w:line="264"/>
      </w:pPr>
      <w:r>
        <w:rPr>
          <w:rFonts w:ascii="Arial" w:cs="Arial" w:eastAsia="Arial" w:hAnsi="Arial"/>
          <w:sz w:val="20"/>
          <w:szCs w:val="20"/>
        </w:rPr>
        <w:t xml:space="preserve">Deel om de beurt. Noteer elke oorzaak in de tabel en vraag wie het raakt.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Kies de drie zwaarste oorzaken. Bedenk een maatregel, een verantwoordelijke en een moment. </w:t>
      </w:r>
      <w:r>
        <w:rPr>
          <w:rFonts w:ascii="Arial" w:cs="Arial" w:eastAsia="Arial" w:hAnsi="Arial"/>
          <w:i/>
          <w:iCs/>
          <w:color w:val="5F5E5A"/>
          <w:sz w:val="18"/>
          <w:szCs w:val="18"/>
        </w:rPr>
        <w:t xml:space="preserve">(12 min)</w:t>
      </w:r>
    </w:p>
    <w:p>
      <w:pPr>
        <w:pStyle w:val="ListParagraph"/>
        <w:numPr>
          <w:ilvl w:val="0"/>
          <w:numId w:val="2"/>
        </w:numPr>
        <w:spacing w:after="50" w:line="264"/>
      </w:pPr>
      <w:r>
        <w:rPr>
          <w:rFonts w:ascii="Arial" w:cs="Arial" w:eastAsia="Arial" w:hAnsi="Arial"/>
          <w:sz w:val="20"/>
          <w:szCs w:val="20"/>
        </w:rPr>
        <w:t xml:space="preserve">Kies één eerste stap voor morgen en één afspraak om vol te houden. </w:t>
      </w:r>
      <w:r>
        <w:rPr>
          <w:rFonts w:ascii="Arial" w:cs="Arial" w:eastAsia="Arial" w:hAnsi="Arial"/>
          <w:i/>
          <w:iCs/>
          <w:color w:val="5F5E5A"/>
          <w:sz w:val="18"/>
          <w:szCs w:val="18"/>
        </w:rPr>
        <w:t xml:space="preserve">(8 min)</w:t>
      </w:r>
    </w:p>
    <w:p>
      <w:pPr>
        <w:keepNext/>
        <w:pBdr>
          <w:bottom w:val="single" w:color="5B2D8E" w:sz="8" w:space="2"/>
        </w:pBdr>
        <w:spacing w:after="90" w:before="200"/>
      </w:pPr>
      <w:r>
        <w:rPr>
          <w:rFonts w:ascii="Arial" w:cs="Arial" w:eastAsia="Arial" w:hAnsi="Arial"/>
          <w:b/>
          <w:bCs/>
          <w:color w:val="5B2D8E"/>
          <w:spacing w:val="30"/>
          <w:sz w:val="20"/>
          <w:szCs w:val="20"/>
        </w:rPr>
        <w:t xml:space="preserve">STAP 1 — DE KRANTENKOP</w:t>
      </w:r>
    </w:p>
    <w:p>
      <w:pPr>
        <w:spacing w:after="0"/>
      </w:pPr>
      <w:r>
        <w:rPr>
          <w:rFonts w:ascii="Arial" w:cs="Arial" w:eastAsia="Arial" w:hAnsi="Arial"/>
          <w:b/>
          <w:bCs/>
          <w:sz w:val="20"/>
          <w:szCs w:val="20"/>
        </w:rPr>
        <w:t xml:space="preserve">Over een jaar staat er in de krant:</w:t>
      </w:r>
    </w:p>
    <w:p>
      <w:pPr>
        <w:pBdr>
          <w:bottom w:val="single" w:color="C9CED4" w:sz="4" w:space="1"/>
        </w:pBdr>
        <w:spacing w:after="0" w:before="0" w:line="340" w:lineRule="exact"/>
        <w:ind w:right="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STAP 2 EN 3 — WAT GING ER MIS?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3900"/>
        <w:gridCol w:w="2200"/>
        <w:gridCol w:w="3206"/>
      </w:tblGrid>
      <w:tr>
        <w:trPr>
          <w:tblHeader/>
        </w:trPr>
        <w:tc>
          <w:tcPr>
            <w:tcW w:type="dxa" w:w="600"/>
            <w:tcBorders>
              <w:top w:val="single" w:color="BFC5CC" w:sz="4"/>
              <w:left w:val="single" w:color="BFC5CC" w:sz="4"/>
              <w:bottom w:val="single" w:color="BFC5CC" w:sz="4"/>
              <w:right w:val="single" w:color="BFC5CC" w:sz="4"/>
            </w:tcBorders>
            <w:shd w:fill="33363B"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
            </w:r>
          </w:p>
        </w:tc>
        <w:tc>
          <w:tcPr>
            <w:tcW w:type="dxa" w:w="3900"/>
            <w:tcBorders>
              <w:top w:val="single" w:color="BFC5CC" w:sz="4"/>
              <w:left w:val="single" w:color="BFC5CC" w:sz="4"/>
              <w:bottom w:val="single" w:color="BFC5CC" w:sz="4"/>
              <w:right w:val="single" w:color="BFC5CC" w:sz="4"/>
            </w:tcBorders>
            <w:shd w:fill="33363B"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Oorzaak</w:t>
            </w:r>
          </w:p>
        </w:tc>
        <w:tc>
          <w:tcPr>
            <w:tcW w:type="dxa" w:w="2200"/>
            <w:tcBorders>
              <w:top w:val="single" w:color="BFC5CC" w:sz="4"/>
              <w:left w:val="single" w:color="BFC5CC" w:sz="4"/>
              <w:bottom w:val="single" w:color="BFC5CC" w:sz="4"/>
              <w:right w:val="single" w:color="BFC5CC" w:sz="4"/>
            </w:tcBorders>
            <w:shd w:fill="33363B"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Wie raakt het?</w:t>
            </w:r>
          </w:p>
        </w:tc>
        <w:tc>
          <w:tcPr>
            <w:tcW w:type="dxa" w:w="3206"/>
            <w:tcBorders>
              <w:top w:val="single" w:color="BFC5CC" w:sz="4"/>
              <w:left w:val="single" w:color="BFC5CC" w:sz="4"/>
              <w:bottom w:val="single" w:color="BFC5CC" w:sz="4"/>
              <w:right w:val="single" w:color="BFC5CC" w:sz="4"/>
            </w:tcBorders>
            <w:shd w:fill="33363B"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Waarom zagen we het niet?</w:t>
            </w:r>
          </w:p>
        </w:tc>
      </w:tr>
      <w:tr>
        <w:trPr>
          <w:trHeight w:val="640" w:hRule="atLeast"/>
        </w:trPr>
        <w:tc>
          <w:tcPr>
            <w:tcW w:type="dxa" w:w="600"/>
            <w:tcBorders>
              <w:top w:val="single" w:color="BFC5CC" w:sz="4"/>
              <w:left w:val="single" w:color="BFC5CC" w:sz="4"/>
              <w:bottom w:val="single" w:color="BFC5CC" w:sz="4"/>
              <w:right w:val="single" w:color="BFC5CC" w:sz="4"/>
            </w:tcBorders>
            <w:shd w:fill="EFEEEA" w:color="auto" w:val="clear"/>
            <w:tcMar>
              <w:top w:type="dxa" w:w="80"/>
              <w:left w:type="dxa" w:w="110"/>
              <w:bottom w:type="dxa" w:w="80"/>
              <w:right w:type="dxa" w:w="110"/>
            </w:tcMar>
          </w:tcPr>
          <w:p>
            <w:pPr>
              <w:spacing w:after="20"/>
            </w:pPr>
            <w:r>
              <w:rPr>
                <w:rFonts w:ascii="Arial" w:cs="Arial" w:eastAsia="Arial" w:hAnsi="Arial"/>
                <w:b/>
                <w:bCs/>
                <w:color w:val="33363B"/>
                <w:sz w:val="19"/>
                <w:szCs w:val="19"/>
              </w:rPr>
              <w:t xml:space="preserve">1</w:t>
            </w:r>
          </w:p>
        </w:tc>
        <w:tc>
          <w:tcPr>
            <w:tcW w:type="dxa" w:w="39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2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640" w:hRule="atLeast"/>
        </w:trPr>
        <w:tc>
          <w:tcPr>
            <w:tcW w:type="dxa" w:w="600"/>
            <w:tcBorders>
              <w:top w:val="single" w:color="BFC5CC" w:sz="4"/>
              <w:left w:val="single" w:color="BFC5CC" w:sz="4"/>
              <w:bottom w:val="single" w:color="BFC5CC" w:sz="4"/>
              <w:right w:val="single" w:color="BFC5CC" w:sz="4"/>
            </w:tcBorders>
            <w:shd w:fill="EFEEEA" w:color="auto" w:val="clear"/>
            <w:tcMar>
              <w:top w:type="dxa" w:w="80"/>
              <w:left w:type="dxa" w:w="110"/>
              <w:bottom w:type="dxa" w:w="80"/>
              <w:right w:type="dxa" w:w="110"/>
            </w:tcMar>
          </w:tcPr>
          <w:p>
            <w:pPr>
              <w:spacing w:after="20"/>
            </w:pPr>
            <w:r>
              <w:rPr>
                <w:rFonts w:ascii="Arial" w:cs="Arial" w:eastAsia="Arial" w:hAnsi="Arial"/>
                <w:b/>
                <w:bCs/>
                <w:color w:val="33363B"/>
                <w:sz w:val="19"/>
                <w:szCs w:val="19"/>
              </w:rPr>
              <w:t xml:space="preserve">2</w:t>
            </w:r>
          </w:p>
        </w:tc>
        <w:tc>
          <w:tcPr>
            <w:tcW w:type="dxa" w:w="39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2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640" w:hRule="atLeast"/>
        </w:trPr>
        <w:tc>
          <w:tcPr>
            <w:tcW w:type="dxa" w:w="600"/>
            <w:tcBorders>
              <w:top w:val="single" w:color="BFC5CC" w:sz="4"/>
              <w:left w:val="single" w:color="BFC5CC" w:sz="4"/>
              <w:bottom w:val="single" w:color="BFC5CC" w:sz="4"/>
              <w:right w:val="single" w:color="BFC5CC" w:sz="4"/>
            </w:tcBorders>
            <w:shd w:fill="EFEEEA" w:color="auto" w:val="clear"/>
            <w:tcMar>
              <w:top w:type="dxa" w:w="80"/>
              <w:left w:type="dxa" w:w="110"/>
              <w:bottom w:type="dxa" w:w="80"/>
              <w:right w:type="dxa" w:w="110"/>
            </w:tcMar>
          </w:tcPr>
          <w:p>
            <w:pPr>
              <w:spacing w:after="20"/>
            </w:pPr>
            <w:r>
              <w:rPr>
                <w:rFonts w:ascii="Arial" w:cs="Arial" w:eastAsia="Arial" w:hAnsi="Arial"/>
                <w:b/>
                <w:bCs/>
                <w:color w:val="33363B"/>
                <w:sz w:val="19"/>
                <w:szCs w:val="19"/>
              </w:rPr>
              <w:t xml:space="preserve">3</w:t>
            </w:r>
          </w:p>
        </w:tc>
        <w:tc>
          <w:tcPr>
            <w:tcW w:type="dxa" w:w="39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2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STAP 4 — MAATREGELEN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2300"/>
        <w:gridCol w:w="2006"/>
      </w:tblGrid>
      <w:tr>
        <w:trPr>
          <w:tblHeader/>
        </w:trPr>
        <w:tc>
          <w:tcPr>
            <w:tcW w:type="dxa" w:w="600"/>
            <w:tcBorders>
              <w:top w:val="single" w:color="BFC5CC" w:sz="4"/>
              <w:left w:val="single" w:color="BFC5CC" w:sz="4"/>
              <w:bottom w:val="single" w:color="BFC5CC" w:sz="4"/>
              <w:right w:val="single" w:color="BFC5CC" w:sz="4"/>
            </w:tcBorders>
            <w:shd w:fill="33363B"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
            </w:r>
          </w:p>
        </w:tc>
        <w:tc>
          <w:tcPr>
            <w:tcW w:type="dxa" w:w="5000"/>
            <w:tcBorders>
              <w:top w:val="single" w:color="BFC5CC" w:sz="4"/>
              <w:left w:val="single" w:color="BFC5CC" w:sz="4"/>
              <w:bottom w:val="single" w:color="BFC5CC" w:sz="4"/>
              <w:right w:val="single" w:color="BFC5CC" w:sz="4"/>
            </w:tcBorders>
            <w:shd w:fill="33363B"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Maatregel</w:t>
            </w:r>
          </w:p>
        </w:tc>
        <w:tc>
          <w:tcPr>
            <w:tcW w:type="dxa" w:w="2300"/>
            <w:tcBorders>
              <w:top w:val="single" w:color="BFC5CC" w:sz="4"/>
              <w:left w:val="single" w:color="BFC5CC" w:sz="4"/>
              <w:bottom w:val="single" w:color="BFC5CC" w:sz="4"/>
              <w:right w:val="single" w:color="BFC5CC" w:sz="4"/>
            </w:tcBorders>
            <w:shd w:fill="33363B"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Wie?</w:t>
            </w:r>
          </w:p>
        </w:tc>
        <w:tc>
          <w:tcPr>
            <w:tcW w:type="dxa" w:w="2006"/>
            <w:tcBorders>
              <w:top w:val="single" w:color="BFC5CC" w:sz="4"/>
              <w:left w:val="single" w:color="BFC5CC" w:sz="4"/>
              <w:bottom w:val="single" w:color="BFC5CC" w:sz="4"/>
              <w:right w:val="single" w:color="BFC5CC" w:sz="4"/>
            </w:tcBorders>
            <w:shd w:fill="33363B"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Wanneer?</w:t>
            </w:r>
          </w:p>
        </w:tc>
      </w:tr>
      <w:tr>
        <w:trPr>
          <w:trHeight w:val="640" w:hRule="atLeast"/>
        </w:trPr>
        <w:tc>
          <w:tcPr>
            <w:tcW w:type="dxa" w:w="600"/>
            <w:tcBorders>
              <w:top w:val="single" w:color="BFC5CC" w:sz="4"/>
              <w:left w:val="single" w:color="BFC5CC" w:sz="4"/>
              <w:bottom w:val="single" w:color="BFC5CC" w:sz="4"/>
              <w:right w:val="single" w:color="BFC5CC" w:sz="4"/>
            </w:tcBorders>
            <w:shd w:fill="EFEEEA" w:color="auto" w:val="clear"/>
            <w:tcMar>
              <w:top w:type="dxa" w:w="80"/>
              <w:left w:type="dxa" w:w="110"/>
              <w:bottom w:type="dxa" w:w="80"/>
              <w:right w:type="dxa" w:w="110"/>
            </w:tcMar>
          </w:tcPr>
          <w:p>
            <w:pPr>
              <w:spacing w:after="20"/>
            </w:pPr>
            <w:r>
              <w:rPr>
                <w:rFonts w:ascii="Arial" w:cs="Arial" w:eastAsia="Arial" w:hAnsi="Arial"/>
                <w:b/>
                <w:bCs/>
                <w:color w:val="33363B"/>
                <w:sz w:val="19"/>
                <w:szCs w:val="19"/>
              </w:rPr>
              <w:t xml:space="preserve">1</w:t>
            </w:r>
          </w:p>
        </w:tc>
        <w:tc>
          <w:tcPr>
            <w:tcW w:type="dxa" w:w="5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0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640" w:hRule="atLeast"/>
        </w:trPr>
        <w:tc>
          <w:tcPr>
            <w:tcW w:type="dxa" w:w="600"/>
            <w:tcBorders>
              <w:top w:val="single" w:color="BFC5CC" w:sz="4"/>
              <w:left w:val="single" w:color="BFC5CC" w:sz="4"/>
              <w:bottom w:val="single" w:color="BFC5CC" w:sz="4"/>
              <w:right w:val="single" w:color="BFC5CC" w:sz="4"/>
            </w:tcBorders>
            <w:shd w:fill="EFEEEA" w:color="auto" w:val="clear"/>
            <w:tcMar>
              <w:top w:type="dxa" w:w="80"/>
              <w:left w:type="dxa" w:w="110"/>
              <w:bottom w:type="dxa" w:w="80"/>
              <w:right w:type="dxa" w:w="110"/>
            </w:tcMar>
          </w:tcPr>
          <w:p>
            <w:pPr>
              <w:spacing w:after="20"/>
            </w:pPr>
            <w:r>
              <w:rPr>
                <w:rFonts w:ascii="Arial" w:cs="Arial" w:eastAsia="Arial" w:hAnsi="Arial"/>
                <w:b/>
                <w:bCs/>
                <w:color w:val="33363B"/>
                <w:sz w:val="19"/>
                <w:szCs w:val="19"/>
              </w:rPr>
              <w:t xml:space="preserve">2</w:t>
            </w:r>
          </w:p>
        </w:tc>
        <w:tc>
          <w:tcPr>
            <w:tcW w:type="dxa" w:w="5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0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640" w:hRule="atLeast"/>
        </w:trPr>
        <w:tc>
          <w:tcPr>
            <w:tcW w:type="dxa" w:w="600"/>
            <w:tcBorders>
              <w:top w:val="single" w:color="BFC5CC" w:sz="4"/>
              <w:left w:val="single" w:color="BFC5CC" w:sz="4"/>
              <w:bottom w:val="single" w:color="BFC5CC" w:sz="4"/>
              <w:right w:val="single" w:color="BFC5CC" w:sz="4"/>
            </w:tcBorders>
            <w:shd w:fill="EFEEEA" w:color="auto" w:val="clear"/>
            <w:tcMar>
              <w:top w:type="dxa" w:w="80"/>
              <w:left w:type="dxa" w:w="110"/>
              <w:bottom w:type="dxa" w:w="80"/>
              <w:right w:type="dxa" w:w="110"/>
            </w:tcMar>
          </w:tcPr>
          <w:p>
            <w:pPr>
              <w:spacing w:after="20"/>
            </w:pPr>
            <w:r>
              <w:rPr>
                <w:rFonts w:ascii="Arial" w:cs="Arial" w:eastAsia="Arial" w:hAnsi="Arial"/>
                <w:b/>
                <w:bCs/>
                <w:color w:val="33363B"/>
                <w:sz w:val="19"/>
                <w:szCs w:val="19"/>
              </w:rPr>
              <w:t xml:space="preserve">3</w:t>
            </w:r>
          </w:p>
        </w:tc>
        <w:tc>
          <w:tcPr>
            <w:tcW w:type="dxa" w:w="5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0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STAP 5 — MIJN EERSTE STAP</w:t>
      </w:r>
    </w:p>
    <w:p>
      <w:pPr>
        <w:spacing w:after="0"/>
      </w:pPr>
      <w:r>
        <w:rPr>
          <w:rFonts w:ascii="Arial" w:cs="Arial" w:eastAsia="Arial" w:hAnsi="Arial"/>
          <w:b/>
          <w:bCs/>
          <w:sz w:val="20"/>
          <w:szCs w:val="20"/>
        </w:rPr>
        <w:t xml:space="preserve">Morgen ga ik:</w:t>
      </w:r>
    </w:p>
    <w:p>
      <w:pPr>
        <w:pBdr>
          <w:bottom w:val="single" w:color="C9CED4" w:sz="4" w:space="1"/>
        </w:pBdr>
        <w:spacing w:after="0" w:before="0" w:line="340" w:lineRule="exact"/>
        <w:ind w:right="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1D9E75" w:color="auto" w:val="clear"/>
        </w:rPr>
        <w:t xml:space="preserve"> HANDELEN </w:t>
      </w:r>
      <w:r>
        <w:rPr>
          <w:rFonts w:ascii="Arial" w:cs="Arial" w:eastAsia="Arial" w:hAnsi="Arial"/>
          <w:sz w:val="20"/>
          <w:szCs w:val="20"/>
        </w:rPr>
        <w:t xml:space="preserve">  Welke maatregel voer jij zelf uit? Wat zeg je concreet, en tegen wie?</w:t>
      </w:r>
    </w:p>
    <w:p>
      <w:pPr>
        <w:pBdr>
          <w:bottom w:val="single" w:color="C9CED4" w:sz="4" w:space="1"/>
        </w:pBdr>
        <w:spacing w:after="0" w:before="0" w:line="320" w:lineRule="exact"/>
        <w:ind w:right="0"/>
      </w:pPr>
      <w:r>
        <w:rPr>
          <w:rFonts w:ascii="Arial" w:cs="Arial" w:eastAsia="Arial" w:hAnsi="Arial"/>
          <w:sz w:val="21"/>
          <w:szCs w:val="21"/>
        </w:rPr>
        <w:t xml:space="preserve"/>
      </w:r>
    </w:p>
    <w:p>
      <w:pPr>
        <w:pBdr>
          <w:bottom w:val="single" w:color="C9CED4" w:sz="4" w:space="1"/>
        </w:pBdr>
        <w:spacing w:after="0" w:before="0" w:line="320" w:lineRule="exact"/>
        <w:ind w:right="2"/>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E2694B" w:color="auto" w:val="clear"/>
        </w:rPr>
        <w:t xml:space="preserve"> VOLHOUDEN </w:t>
      </w:r>
      <w:r>
        <w:rPr>
          <w:rFonts w:ascii="Arial" w:cs="Arial" w:eastAsia="Arial" w:hAnsi="Arial"/>
          <w:sz w:val="20"/>
          <w:szCs w:val="20"/>
        </w:rPr>
        <w:t xml:space="preserve">  Wat maakt het moeilijk om dit vol te houden als het druk wordt? Wat helpt je?</w:t>
      </w:r>
    </w:p>
    <w:p>
      <w:pPr>
        <w:pBdr>
          <w:bottom w:val="single" w:color="C9CED4" w:sz="4" w:space="1"/>
        </w:pBdr>
        <w:spacing w:after="0" w:before="0" w:line="320" w:lineRule="exact"/>
        <w:ind w:right="0"/>
      </w:pPr>
      <w:r>
        <w:rPr>
          <w:rFonts w:ascii="Arial" w:cs="Arial" w:eastAsia="Arial" w:hAnsi="Arial"/>
          <w:sz w:val="21"/>
          <w:szCs w:val="21"/>
        </w:rPr>
        <w:t xml:space="preserve"/>
      </w:r>
    </w:p>
    <w:p>
      <w:pPr>
        <w:pBdr>
          <w:bottom w:val="single" w:color="C9CED4" w:sz="4" w:space="1"/>
        </w:pBdr>
        <w:spacing w:after="0" w:before="0" w:line="320" w:lineRule="exact"/>
        <w:ind w:right="2"/>
      </w:pPr>
      <w:r>
        <w:rPr>
          <w:rFonts w:ascii="Arial" w:cs="Arial" w:eastAsia="Arial" w:hAnsi="Arial"/>
          <w:sz w:val="21"/>
          <w:szCs w:val="21"/>
        </w:rPr>
        <w:t xml:space="preserve"/>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Werkvorm gebaseerd op: morele pre-mortem (Klein, 2007).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c185f0d858fe80cdc3a8fb1ddf887fd0295740c.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MW18 De krantenkop van volgend jaar (HBO HRM, NL)</dc:title>
  <dc:creator>Moreel Vakmanschap</dc:creator>
  <cp:lastModifiedBy>Un-named</cp:lastModifiedBy>
  <cp:revision>1</cp:revision>
  <dcterms:created xsi:type="dcterms:W3CDTF">2026-09-29T10:04:58.382Z</dcterms:created>
  <dcterms:modified xsi:type="dcterms:W3CDTF">2026-09-29T10:04:58.382Z</dcterms:modified>
</cp:coreProperties>
</file>

<file path=docProps/custom.xml><?xml version="1.0" encoding="utf-8"?>
<Properties xmlns="http://schemas.openxmlformats.org/officeDocument/2006/custom-properties" xmlns:vt="http://schemas.openxmlformats.org/officeDocument/2006/docPropsVTypes"/>
</file>