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56B6F" w:sz="24"/>
              <w:right w:val="none" w:color="FFFFFF" w:sz="0"/>
            </w:tcBorders>
            <w:shd w:fill="355070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MW20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Binnen 24 uur bereikbaar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56B6F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standpunt over een HR-beleidsvraag onderbouwen met redenen en principes.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als kritische vriend sterke punten benoemen en gerichte vragen stellen.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bezwaren verwerken zonder te verdedigen wat niet houdbaar is.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de wens van het bedrijf tot flexibiliteit af tegen de belangen van medewerkers, binnen de regels en cultuur van de organisatie.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het roosterbeleid van het bedrijf.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directie, filiaalmanagers en medewerkers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arbeidsrecht speelt op de achtergrond, maar de kern is het beleid van dit bedrijf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Twee teams van 3–5 studenten, een jury van 2–3 personen (studenten of docenten). Neem 75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maak duidelijk dat de jury niet op winnen beoordeelt, maar op redenering, respect voor de andere kant en het verwerken van kritiek. Gebruik de rubric hieronder.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Naam en bron: </w:t>
      </w:r>
      <w:r>
        <w:rPr>
          <w:rFonts w:ascii="Arial" w:cs="Arial" w:eastAsia="Arial" w:hAnsi="Arial"/>
          <w:sz w:val="19"/>
          <w:szCs w:val="19"/>
        </w:rPr>
        <w:t xml:space="preserve">het format is in eigen woorden uitgewerkt naar de Ethics Bowl (Ladenson, 2001). De officiële naam wordt door APPE gebruikt, daarom heet deze werkvorm hier ethiekcompetitie.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Teams gaan tegen elkaar in plaats van met elkaar. Herinner aan de rol van kritische vriend.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noemen alleen feiten. Vraag naar het principe achter de reden.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jury waardeert de presentatiestijl. Herinner aan de rubric.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RUBRIC VOOR DE JURY (1 = ZWAK, 4 = STERK)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5507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Criterium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5507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Wat zie je bij 4?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5070"/>
                <w:sz w:val="17"/>
                <w:szCs w:val="17"/>
              </w:rPr>
              <w:t xml:space="preserve">Redenering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Standpunt is helder, met redenen en principes die op elkaar aansluiten.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5070"/>
                <w:sz w:val="17"/>
                <w:szCs w:val="17"/>
              </w:rPr>
              <w:t xml:space="preserve">Perspectieven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Minstens twee perspectieven (gevolgen, rechten, karakter) worden benoemd en toegepast.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5070"/>
                <w:sz w:val="17"/>
                <w:szCs w:val="17"/>
              </w:rPr>
              <w:t xml:space="preserve">Kritische vriend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Sterke punten worden benoemd; vragen zijn gericht en helpen het andere team verder.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5070"/>
                <w:sz w:val="17"/>
                <w:szCs w:val="17"/>
              </w:rPr>
              <w:t xml:space="preserve">Verwerken van kritiek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Het team past zijn standpunt aan, of legt uit waarom niet.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(50 min): </w:t>
      </w:r>
      <w:r>
        <w:rPr>
          <w:rFonts w:ascii="Arial" w:cs="Arial" w:eastAsia="Arial" w:hAnsi="Arial"/>
          <w:sz w:val="19"/>
          <w:szCs w:val="19"/>
        </w:rPr>
        <w:t xml:space="preserve">één ronde, zonder de tweede casus.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breakoutrooms voor de voorbereiding en één hoofdruimte voor de presentatie.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meerdere paren teams tegelijk werken met eigen jury.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[Proefschrift,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Ladenson, R. F. (2001). The educational significance of the Ethics Bowl. Teaching Ethics, 1(1), 63–78.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werkdefinitie van het lectoraat, gebaseerd op het micro-meso-macrodenken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ethiekcompetitie (naar het Ethics Bowl-format, Ladenson, 2001; eigen naam en uitwerking).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MW20 Docentenversie – Binnen 24 uur bereikbaar</dc:title>
  <dc:creator>Moreel Vakmanschap</dc:creator>
  <cp:lastModifiedBy>Un-named</cp:lastModifiedBy>
  <cp:revision>1</cp:revision>
  <dcterms:created xsi:type="dcterms:W3CDTF">2026-09-30T09:24:23.676Z</dcterms:created>
  <dcterms:modified xsi:type="dcterms:W3CDTF">2026-09-30T09:24:23.676Z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