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C9ADA7" w:sz="24"/>
              <w:right w:val="none" w:color="FFFFFF" w:sz="0"/>
            </w:tcBorders>
            <w:shd w:fill="4A4E69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MW21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Salarissen op tafel?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C9ADA7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argumenten voor en tegen een HR-beleidskeuze uitwerken en verdedigen.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het standpunt van de ander zo sterk mogelijk weergeven.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gezamenlijk, onderbouwd advies formuleren. (Wegen)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de HR-adviseur weegt eerlijkheid en transparantie af tegen onderlinge verhoudingen en de cultuur binnen het bedrijf.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 manier waarop het bedrijf omgaat met loonverschillen. Dat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Micro: </w:t>
      </w:r>
      <w:r>
        <w:rPr>
          <w:rFonts w:ascii="Arial" w:cs="Arial" w:eastAsia="Arial" w:hAnsi="Arial"/>
          <w:sz w:val="19"/>
          <w:szCs w:val="19"/>
        </w:rPr>
        <w:t xml:space="preserve">directie, managers en medewerkers spelen een wezenlijke rol (beslisregel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Macro: </w:t>
      </w:r>
      <w:r>
        <w:rPr>
          <w:rFonts w:ascii="Arial" w:cs="Arial" w:eastAsia="Arial" w:hAnsi="Arial"/>
          <w:sz w:val="19"/>
          <w:szCs w:val="19"/>
        </w:rPr>
        <w:t xml:space="preserve">Europese regels over loontransparantie spelen op de achtergrond, maar de kern is het beleid van dit bedrijf (beslisregel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Viertallen, verdeeld in twee duo’s. Neem 60 minuten.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bewaak de wisseling van kant in ronde 3; die is de kern van de methode. Vraag in ronde 4 om een advies, geen compromis.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Afsluiten: </w:t>
      </w:r>
      <w:r>
        <w:rPr>
          <w:rFonts w:ascii="Arial" w:cs="Arial" w:eastAsia="Arial" w:hAnsi="Arial"/>
          <w:sz w:val="19"/>
          <w:szCs w:val="19"/>
        </w:rPr>
        <w:t xml:space="preserve">laat een paar viertallen hun advies presenteren en vergelijk.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houden hun eigen kant vast in ronde 3. Herinner ze dat ze de ander recht moeten doen.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Ronde 4 wordt een gemiddelde. Vraag naar de reden achter het advies.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Een duo is het eens met de andere kant. Laat ze toch het sterkste argument van hun eigen kant noteren.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MOGELIJKE ARGUMENTEN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4A4E6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Kant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4A4E6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Voorbeeldargumenten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DEC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A4E69"/>
                <w:sz w:val="17"/>
                <w:szCs w:val="17"/>
              </w:rPr>
              <w:t xml:space="preserve">Voor openheid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Vertrouwen en eerlijkheid; loonverschillen tussen mannen en vrouwen worden zichtbaar; minder gissen en geruchten.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DEC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A4E69"/>
                <w:sz w:val="17"/>
                <w:szCs w:val="17"/>
              </w:rPr>
              <w:t xml:space="preserve">Tegen openheid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Privacy van medewerkers; onderlinge vergelijking en jaloezie; druk op managers om alles uit te leggen.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DEC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A4E69"/>
                <w:sz w:val="17"/>
                <w:szCs w:val="17"/>
              </w:rPr>
              <w:t xml:space="preserve">Mogelijk advies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Alleen salarisbanden per functie openbaar; individuele salarissen niet; een vast bezwaarmoment.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DEC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A4E69"/>
                <w:sz w:val="17"/>
                <w:szCs w:val="17"/>
              </w:rPr>
              <w:t xml:space="preserve">Vraag voor de nabespreking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Wat moet er eerst geregeld zijn voordat openheid werkt?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(45 min): </w:t>
      </w:r>
      <w:r>
        <w:rPr>
          <w:rFonts w:ascii="Arial" w:cs="Arial" w:eastAsia="Arial" w:hAnsi="Arial"/>
          <w:sz w:val="19"/>
          <w:szCs w:val="19"/>
        </w:rPr>
        <w:t xml:space="preserve">sla ronde 2 over.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breakoutrooms voor de duo’s en een gedeeld document voor ronde 4.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laat meerdere viertallen tegelijk werken en bespreek plenair.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Meijer, K. (2023). Impossible and inevitable: Reconstructing the critique of business ethics [Proefschrift, Tilburg University]. Ridderprint.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Johnson, D. W., &amp; Johnson, R. T. (1993). Creative and critical thinking through academic controversy. American Behavioral Scientist, 37(1), 40–53. https://doi.org/10.1177/0002764293037001005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werkdefinitie van het lectoraat, gebaseerd op het micro-meso-macrodenken van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gestructureerde academische controverse (Johnson &amp; Johnson, 1993).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MW21 Docentenversie – Salarissen op tafel?</dc:title>
  <dc:creator>Moreel Vakmanschap</dc:creator>
  <cp:lastModifiedBy>Un-named</cp:lastModifiedBy>
  <cp:revision>1</cp:revision>
  <dcterms:created xsi:type="dcterms:W3CDTF">2026-09-30T08:50:15.163Z</dcterms:created>
  <dcterms:modified xsi:type="dcterms:W3CDTF">2026-09-30T08:50:15.163Z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