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C9ADA7" w:sz="24"/>
              <w:right w:val="none" w:color="FFFFFF" w:sz="0"/>
            </w:tcBorders>
            <w:shd w:fill="4A4E69"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MW21 — ACADEMISCHE CONTROVERSE · HRM</w:t>
            </w:r>
          </w:p>
          <w:p>
            <w:pPr>
              <w:spacing w:after="40" w:line="250"/>
            </w:pPr>
            <w:r>
              <w:rPr>
                <w:rFonts w:ascii="Arial" w:cs="Arial" w:eastAsia="Arial" w:hAnsi="Arial"/>
                <w:b/>
                <w:bCs/>
                <w:color w:val="FFFFFF"/>
                <w:sz w:val="34"/>
                <w:szCs w:val="34"/>
              </w:rPr>
              <w:t xml:space="preserve">Salarissen op tafel?</w:t>
            </w:r>
          </w:p>
          <w:p>
            <w:pPr>
              <w:spacing w:after="0"/>
            </w:pPr>
            <w:r>
              <w:rPr>
                <w:rFonts w:ascii="Arial" w:cs="Arial" w:eastAsia="Arial" w:hAnsi="Arial"/>
                <w:color w:val="DDE6F0"/>
                <w:sz w:val="19"/>
                <w:szCs w:val="19"/>
              </w:rPr>
              <w:t xml:space="preserve">Casus: Bouwgroep Nassau</w:t>
            </w:r>
          </w:p>
        </w:tc>
        <w:tc>
          <w:tcPr>
            <w:tcW w:type="dxa" w:w="2606"/>
            <w:tcBorders>
              <w:top w:val="none" w:color="FFFFFF" w:sz="0"/>
              <w:left w:val="none" w:color="FFFFFF" w:sz="0"/>
              <w:bottom w:val="single" w:color="C9ADA7"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60 min     Groep: Viertallen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9ADA7" w:sz="6"/>
              <w:left w:val="single" w:color="C9ADA7" w:sz="6"/>
              <w:bottom w:val="single" w:color="C9ADA7" w:sz="6"/>
              <w:right w:val="single" w:color="C9ADA7"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DECF0"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Bouwgroep Nassau heeft 450 medewerkers. De directeur vraagt HR om een voorstel: moeten de salarisschalen per functie voortaan voor iedereen binnen het bedrijf inzichtelijk zijn? Sommige managers zeggen dat het eerlijk is en vertrouwen geeft. Anderen zeggen dat het ruzie en jaloezie oplevert.</w:t>
            </w:r>
          </w:p>
          <w:p>
            <w:pPr>
              <w:spacing w:after="100" w:line="288"/>
            </w:pPr>
            <w:r>
              <w:rPr>
                <w:rFonts w:ascii="Arial" w:cs="Arial" w:eastAsia="Arial" w:hAnsi="Arial"/>
                <w:sz w:val="21"/>
                <w:szCs w:val="21"/>
              </w:rPr>
              <w:t xml:space="preserve">HR-adviseur Amira voelt zich heen en weer getrokken. Een collega die haar loon ziet stijgen, zegt: “Eindelijk duidelijkheid.” Een manager zegt: “Nu wil iedereen opslag.” En een medewerker vraagt: “Waarom verdient hij meer dan ik, met dezelfde functie?”</w:t>
            </w:r>
          </w:p>
          <w:p>
            <w:pPr>
              <w:spacing w:after="40" w:line="288"/>
            </w:pPr>
            <w:r>
              <w:rPr>
                <w:rFonts w:ascii="Arial" w:cs="Arial" w:eastAsia="Arial" w:hAnsi="Arial"/>
                <w:sz w:val="21"/>
                <w:szCs w:val="21"/>
              </w:rPr>
              <w:t xml:space="preserve">De directeur wil dat Amira de argumenten van beide kanten in één document zet. Daarna moet ze een advies geven waar het bedrijf achter kan staan. Amira besluit om beide kanten eerst serieus uit te werken.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Vorm duo’s: duo A is voor openheid, duo B is tegen.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Ronde 1: elk duo bereidt zijn standpunt voor. Schrijf drie argumenten op.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Ronde 2: beide duo’s presenteren om de beurt. De ander stelt vragen en schrijft mee.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Ronde 3: wissel van kant. Verdedig nu het standpunt van het andere duo, zo sterk mogelijk.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Ronde 4: laat de rollen los. Zoek samen naar een advies waar het viertal achter staat.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Vul reflectie in.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ARGUMENTEN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4253"/>
        <w:gridCol w:w="4253"/>
      </w:tblGrid>
      <w:tr>
        <w:trPr>
          <w:tblHeader/>
        </w:trPr>
        <w:tc>
          <w:tcPr>
            <w:tcW w:type="dxa" w:w="1400"/>
            <w:tcBorders>
              <w:top w:val="single" w:color="BFC5CC" w:sz="4"/>
              <w:left w:val="single" w:color="BFC5CC" w:sz="4"/>
              <w:bottom w:val="single" w:color="BFC5CC" w:sz="4"/>
              <w:right w:val="single" w:color="BFC5CC" w:sz="4"/>
            </w:tcBorders>
            <w:shd w:fill="4A4E69"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253"/>
            <w:tcBorders>
              <w:top w:val="single" w:color="BFC5CC" w:sz="4"/>
              <w:left w:val="single" w:color="BFC5CC" w:sz="4"/>
              <w:bottom w:val="single" w:color="BFC5CC" w:sz="4"/>
              <w:right w:val="single" w:color="BFC5CC" w:sz="4"/>
            </w:tcBorders>
            <w:shd w:fill="4A4E69"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Voor openheid</w:t>
            </w:r>
          </w:p>
        </w:tc>
        <w:tc>
          <w:tcPr>
            <w:tcW w:type="dxa" w:w="4253"/>
            <w:tcBorders>
              <w:top w:val="single" w:color="BFC5CC" w:sz="4"/>
              <w:left w:val="single" w:color="BFC5CC" w:sz="4"/>
              <w:bottom w:val="single" w:color="BFC5CC" w:sz="4"/>
              <w:right w:val="single" w:color="BFC5CC" w:sz="4"/>
            </w:tcBorders>
            <w:shd w:fill="4A4E69"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Tegen openheid</w:t>
            </w:r>
          </w:p>
        </w:tc>
      </w:tr>
      <w:tr>
        <w:trPr>
          <w:trHeight w:val="900" w:hRule="atLeast"/>
        </w:trPr>
        <w:tc>
          <w:tcPr>
            <w:tcW w:type="dxa" w:w="1400"/>
            <w:tcBorders>
              <w:top w:val="single" w:color="BFC5CC" w:sz="4"/>
              <w:left w:val="single" w:color="BFC5CC" w:sz="4"/>
              <w:bottom w:val="single" w:color="BFC5CC" w:sz="4"/>
              <w:right w:val="single" w:color="BFC5CC" w:sz="4"/>
            </w:tcBorders>
            <w:shd w:fill="EDECF0" w:color="auto" w:val="clear"/>
            <w:tcMar>
              <w:top w:type="dxa" w:w="80"/>
              <w:left w:type="dxa" w:w="110"/>
              <w:bottom w:type="dxa" w:w="80"/>
              <w:right w:type="dxa" w:w="110"/>
            </w:tcMar>
          </w:tcPr>
          <w:p>
            <w:pPr>
              <w:spacing w:after="20"/>
            </w:pPr>
            <w:r>
              <w:rPr>
                <w:rFonts w:ascii="Arial" w:cs="Arial" w:eastAsia="Arial" w:hAnsi="Arial"/>
                <w:b/>
                <w:bCs/>
                <w:color w:val="4A4E69"/>
                <w:sz w:val="19"/>
                <w:szCs w:val="19"/>
              </w:rPr>
              <w:t xml:space="preserve">Argument 1</w:t>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400"/>
            <w:tcBorders>
              <w:top w:val="single" w:color="BFC5CC" w:sz="4"/>
              <w:left w:val="single" w:color="BFC5CC" w:sz="4"/>
              <w:bottom w:val="single" w:color="BFC5CC" w:sz="4"/>
              <w:right w:val="single" w:color="BFC5CC" w:sz="4"/>
            </w:tcBorders>
            <w:shd w:fill="EDECF0" w:color="auto" w:val="clear"/>
            <w:tcMar>
              <w:top w:type="dxa" w:w="80"/>
              <w:left w:type="dxa" w:w="110"/>
              <w:bottom w:type="dxa" w:w="80"/>
              <w:right w:type="dxa" w:w="110"/>
            </w:tcMar>
          </w:tcPr>
          <w:p>
            <w:pPr>
              <w:spacing w:after="20"/>
            </w:pPr>
            <w:r>
              <w:rPr>
                <w:rFonts w:ascii="Arial" w:cs="Arial" w:eastAsia="Arial" w:hAnsi="Arial"/>
                <w:b/>
                <w:bCs/>
                <w:color w:val="4A4E69"/>
                <w:sz w:val="19"/>
                <w:szCs w:val="19"/>
              </w:rPr>
              <w:t xml:space="preserve">Argument 2</w:t>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400"/>
            <w:tcBorders>
              <w:top w:val="single" w:color="BFC5CC" w:sz="4"/>
              <w:left w:val="single" w:color="BFC5CC" w:sz="4"/>
              <w:bottom w:val="single" w:color="BFC5CC" w:sz="4"/>
              <w:right w:val="single" w:color="BFC5CC" w:sz="4"/>
            </w:tcBorders>
            <w:shd w:fill="EDECF0" w:color="auto" w:val="clear"/>
            <w:tcMar>
              <w:top w:type="dxa" w:w="80"/>
              <w:left w:type="dxa" w:w="110"/>
              <w:bottom w:type="dxa" w:w="80"/>
              <w:right w:type="dxa" w:w="110"/>
            </w:tcMar>
          </w:tcPr>
          <w:p>
            <w:pPr>
              <w:spacing w:after="20"/>
            </w:pPr>
            <w:r>
              <w:rPr>
                <w:rFonts w:ascii="Arial" w:cs="Arial" w:eastAsia="Arial" w:hAnsi="Arial"/>
                <w:b/>
                <w:bCs/>
                <w:color w:val="4A4E69"/>
                <w:sz w:val="19"/>
                <w:szCs w:val="19"/>
              </w:rPr>
              <w:t xml:space="preserve">Argument 3</w:t>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RONDE 3 — HET STERKSTE ARGUMENT VAN DE ANDERE KANT</w:t>
      </w:r>
    </w:p>
    <w:p>
      <w:pPr>
        <w:spacing w:after="0"/>
      </w:pPr>
      <w:r>
        <w:rPr>
          <w:rFonts w:ascii="Arial" w:cs="Arial" w:eastAsia="Arial" w:hAnsi="Arial"/>
          <w:b/>
          <w:bCs/>
          <w:sz w:val="20"/>
          <w:szCs w:val="20"/>
        </w:rPr>
        <w:t xml:space="preserve">Het sterkste argument dat ik nu moest verdedigen, en waarom het sterk is:</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RONDE 4 — ONS GEDEELDE ADVIES</w:t>
      </w:r>
    </w:p>
    <w:p>
      <w:pPr>
        <w:spacing w:after="0"/>
      </w:pPr>
      <w:r>
        <w:rPr>
          <w:rFonts w:ascii="Arial" w:cs="Arial" w:eastAsia="Arial" w:hAnsi="Arial"/>
          <w:b/>
          <w:bCs/>
          <w:sz w:val="20"/>
          <w:szCs w:val="20"/>
        </w:rPr>
        <w:t xml:space="preserve">Wij adviseren … omdat …</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spacing w:after="0"/>
      </w:pPr>
      <w:r>
        <w:rPr>
          <w:rFonts w:ascii="Arial" w:cs="Arial" w:eastAsia="Arial" w:hAnsi="Arial"/>
          <w:b/>
          <w:bCs/>
          <w:sz w:val="20"/>
          <w:szCs w:val="20"/>
        </w:rPr>
        <w:t xml:space="preserve">Waar zijn wij het nog niet over eens?</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Wat veranderde er in jouw standpunt toen je de andere kant moest verdedigen? Onderbouw met minstens twee perspectieven, bijvoorbeeld rechtvaardigheid en gevolgen.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gestructureerde academische controverse (Johnson &amp; Johnson, 1993).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abace29eb0a081245f0fa845373ed46d8e0a5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MW21 Salarissen op tafel? (HBO HRM, NL)</dc:title>
  <dc:creator>Moreel Vakmanschap</dc:creator>
  <cp:lastModifiedBy>Un-named</cp:lastModifiedBy>
  <cp:revision>1</cp:revision>
  <dcterms:created xsi:type="dcterms:W3CDTF">2026-09-30T08:50:14.950Z</dcterms:created>
  <dcterms:modified xsi:type="dcterms:W3CDTF">2026-09-30T08:50:14.950Z</dcterms:modified>
</cp:coreProperties>
</file>

<file path=docProps/custom.xml><?xml version="1.0" encoding="utf-8"?>
<Properties xmlns="http://schemas.openxmlformats.org/officeDocument/2006/custom-properties" xmlns:vt="http://schemas.openxmlformats.org/officeDocument/2006/docPropsVTypes"/>
</file>