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C9A227" w:sz="24"/>
              <w:right w:val="none" w:color="FFFFFF" w:sz="0"/>
            </w:tcBorders>
            <w:shd w:fill="2D3A2E"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MW26 — ADVOCAAT VAN DE DUIVEL · HRM</w:t>
            </w:r>
          </w:p>
          <w:p>
            <w:pPr>
              <w:spacing w:after="40" w:line="250"/>
            </w:pPr>
            <w:r>
              <w:rPr>
                <w:rFonts w:ascii="Arial" w:cs="Arial" w:eastAsia="Arial" w:hAnsi="Arial"/>
                <w:b/>
                <w:bCs/>
                <w:color w:val="FFFFFF"/>
                <w:sz w:val="34"/>
                <w:szCs w:val="34"/>
              </w:rPr>
              <w:t xml:space="preserve">Niemand had bezwaar</w:t>
            </w:r>
          </w:p>
          <w:p>
            <w:pPr>
              <w:spacing w:after="0"/>
            </w:pPr>
            <w:r>
              <w:rPr>
                <w:rFonts w:ascii="Arial" w:cs="Arial" w:eastAsia="Arial" w:hAnsi="Arial"/>
                <w:color w:val="DDE6F0"/>
                <w:sz w:val="19"/>
                <w:szCs w:val="19"/>
              </w:rPr>
              <w:t xml:space="preserve">Casus: Bouwbedrijf Verhoeven</w:t>
            </w:r>
          </w:p>
        </w:tc>
        <w:tc>
          <w:tcPr>
            <w:tcW w:type="dxa" w:w="2606"/>
            <w:tcBorders>
              <w:top w:val="none" w:color="FFFFFF" w:sz="0"/>
              <w:left w:val="none" w:color="FFFFFF" w:sz="0"/>
              <w:bottom w:val="single" w:color="C9A227"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30 min     Groep: 3–6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9A227" w:sz="6"/>
              <w:left w:val="single" w:color="C9A227" w:sz="6"/>
              <w:bottom w:val="single" w:color="C9A227" w:sz="6"/>
              <w:right w:val="single" w:color="C9A227"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BEFEA"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Vrijdagmiddag, kwart voor vier. Het HR-team van Bouwbedrijf Verhoeven heeft twee uur vergaderd over de werving van veertig nieuwe vakmensen. Om tijd te winnen besluit het team eenstemmig: sollicitanten met een gat van meer dan een jaar in hun cv vallen in de eerste ronde automatisch af. Iedereen knikt. Iedereen wil naar huis.</w:t>
            </w:r>
          </w:p>
          <w:p>
            <w:pPr>
              <w:spacing w:after="100" w:line="288"/>
            </w:pPr>
            <w:r>
              <w:rPr>
                <w:rFonts w:ascii="Arial" w:cs="Arial" w:eastAsia="Arial" w:hAnsi="Arial"/>
                <w:sz w:val="21"/>
                <w:szCs w:val="21"/>
              </w:rPr>
              <w:t xml:space="preserve">Junior recruiter Zoë voelt twijfel. Ze denkt aan een neef die na een ziekteperiode moeilijk aan werk kwam. Ze durft niets te zeggen. Teamleider Karin vraagt: “Nog bezwaren?” Het blijft stil.</w:t>
            </w:r>
          </w:p>
          <w:p>
            <w:pPr>
              <w:spacing w:after="40" w:line="288"/>
            </w:pPr>
            <w:r>
              <w:rPr>
                <w:rFonts w:ascii="Arial" w:cs="Arial" w:eastAsia="Arial" w:hAnsi="Arial"/>
                <w:sz w:val="21"/>
                <w:szCs w:val="21"/>
              </w:rPr>
              <w:t xml:space="preserve">Dan zegt Karin: “Ik wil dat één van ons de komende tien minuten alles doet om dit besluit te laten sneuvelen. Wie doet dat? Ik zeg er nu bij dat het een rol is, geen mening.”</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Kies wie de advocaat van de duivel is. Zeg hardop: “Ik speel nu een rol.”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De advocaat schrijft de drie sterkste tegenargumenten op. De rest bereidt zich niet voor. </w:t>
      </w:r>
      <w:r>
        <w:rPr>
          <w:rFonts w:ascii="Arial" w:cs="Arial" w:eastAsia="Arial" w:hAnsi="Arial"/>
          <w:i/>
          <w:iCs/>
          <w:color w:val="5F5E5A"/>
          <w:sz w:val="18"/>
          <w:szCs w:val="18"/>
        </w:rPr>
        <w:t xml:space="preserve">(7 min)</w:t>
      </w:r>
    </w:p>
    <w:p>
      <w:pPr>
        <w:pStyle w:val="ListParagraph"/>
        <w:numPr>
          <w:ilvl w:val="0"/>
          <w:numId w:val="2"/>
        </w:numPr>
        <w:spacing w:after="50" w:line="264"/>
      </w:pPr>
      <w:r>
        <w:rPr>
          <w:rFonts w:ascii="Arial" w:cs="Arial" w:eastAsia="Arial" w:hAnsi="Arial"/>
          <w:sz w:val="20"/>
          <w:szCs w:val="20"/>
        </w:rPr>
        <w:t xml:space="preserve">De advocaat presenteert. De groep luistert en verdedigt nog niets.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De groep antwoordt per argument. Noteer wat blijft staan. </w:t>
      </w:r>
      <w:r>
        <w:rPr>
          <w:rFonts w:ascii="Arial" w:cs="Arial" w:eastAsia="Arial" w:hAnsi="Arial"/>
          <w:i/>
          <w:iCs/>
          <w:color w:val="5F5E5A"/>
          <w:sz w:val="18"/>
          <w:szCs w:val="18"/>
        </w:rPr>
        <w:t xml:space="preserve">(8 min)</w:t>
      </w:r>
    </w:p>
    <w:p>
      <w:pPr>
        <w:pStyle w:val="ListParagraph"/>
        <w:numPr>
          <w:ilvl w:val="0"/>
          <w:numId w:val="2"/>
        </w:numPr>
        <w:spacing w:after="50" w:line="264"/>
      </w:pPr>
      <w:r>
        <w:rPr>
          <w:rFonts w:ascii="Arial" w:cs="Arial" w:eastAsia="Arial" w:hAnsi="Arial"/>
          <w:sz w:val="20"/>
          <w:szCs w:val="20"/>
        </w:rPr>
        <w:t xml:space="preserve">De advocaat stopt de rol hardop en zegt wat hij zelf denkt. De groep kiest: houden, aanpassen of intrekken.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DE TEGENARGUMENTEN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3700"/>
        <w:gridCol w:w="1906"/>
      </w:tblGrid>
      <w:tr>
        <w:trPr>
          <w:tblHeader/>
        </w:trPr>
        <w:tc>
          <w:tcPr>
            <w:tcW w:type="dxa" w:w="600"/>
            <w:tcBorders>
              <w:top w:val="single" w:color="BFC5CC" w:sz="4"/>
              <w:left w:val="single" w:color="BFC5CC" w:sz="4"/>
              <w:bottom w:val="single" w:color="BFC5CC" w:sz="4"/>
              <w:right w:val="single" w:color="BFC5CC" w:sz="4"/>
            </w:tcBorders>
            <w:shd w:fill="2D3A2E"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3700"/>
            <w:tcBorders>
              <w:top w:val="single" w:color="BFC5CC" w:sz="4"/>
              <w:left w:val="single" w:color="BFC5CC" w:sz="4"/>
              <w:bottom w:val="single" w:color="BFC5CC" w:sz="4"/>
              <w:right w:val="single" w:color="BFC5CC" w:sz="4"/>
            </w:tcBorders>
            <w:shd w:fill="2D3A2E"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Sterkste tegenargument</w:t>
            </w:r>
          </w:p>
        </w:tc>
        <w:tc>
          <w:tcPr>
            <w:tcW w:type="dxa" w:w="3700"/>
            <w:tcBorders>
              <w:top w:val="single" w:color="BFC5CC" w:sz="4"/>
              <w:left w:val="single" w:color="BFC5CC" w:sz="4"/>
              <w:bottom w:val="single" w:color="BFC5CC" w:sz="4"/>
              <w:right w:val="single" w:color="BFC5CC" w:sz="4"/>
            </w:tcBorders>
            <w:shd w:fill="2D3A2E"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Antwoord van de groep</w:t>
            </w:r>
          </w:p>
        </w:tc>
        <w:tc>
          <w:tcPr>
            <w:tcW w:type="dxa" w:w="1906"/>
            <w:tcBorders>
              <w:top w:val="single" w:color="BFC5CC" w:sz="4"/>
              <w:left w:val="single" w:color="BFC5CC" w:sz="4"/>
              <w:bottom w:val="single" w:color="BFC5CC" w:sz="4"/>
              <w:right w:val="single" w:color="BFC5CC" w:sz="4"/>
            </w:tcBorders>
            <w:shd w:fill="2D3A2E"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Blijft het staan?</w:t>
            </w:r>
          </w:p>
        </w:tc>
      </w:tr>
      <w:tr>
        <w:trPr>
          <w:trHeight w:val="900" w:hRule="atLeast"/>
        </w:trPr>
        <w:tc>
          <w:tcPr>
            <w:tcW w:type="dxa" w:w="600"/>
            <w:tcBorders>
              <w:top w:val="single" w:color="BFC5CC" w:sz="4"/>
              <w:left w:val="single" w:color="BFC5CC" w:sz="4"/>
              <w:bottom w:val="single" w:color="BFC5CC" w:sz="4"/>
              <w:right w:val="single" w:color="BFC5CC" w:sz="4"/>
            </w:tcBorders>
            <w:shd w:fill="EBEFEA" w:color="auto" w:val="clear"/>
            <w:tcMar>
              <w:top w:type="dxa" w:w="80"/>
              <w:left w:type="dxa" w:w="110"/>
              <w:bottom w:type="dxa" w:w="80"/>
              <w:right w:type="dxa" w:w="110"/>
            </w:tcMar>
          </w:tcPr>
          <w:p>
            <w:pPr>
              <w:spacing w:after="20"/>
            </w:pPr>
            <w:r>
              <w:rPr>
                <w:rFonts w:ascii="Arial" w:cs="Arial" w:eastAsia="Arial" w:hAnsi="Arial"/>
                <w:b/>
                <w:bCs/>
                <w:color w:val="2D3A2E"/>
                <w:sz w:val="19"/>
                <w:szCs w:val="19"/>
              </w:rPr>
              <w:t xml:space="preserve">1</w:t>
            </w:r>
          </w:p>
        </w:tc>
        <w:tc>
          <w:tcPr>
            <w:tcW w:type="dxa" w:w="3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1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ja  ☐ nee</w:t>
            </w:r>
          </w:p>
        </w:tc>
      </w:tr>
      <w:tr>
        <w:trPr>
          <w:trHeight w:val="900" w:hRule="atLeast"/>
        </w:trPr>
        <w:tc>
          <w:tcPr>
            <w:tcW w:type="dxa" w:w="600"/>
            <w:tcBorders>
              <w:top w:val="single" w:color="BFC5CC" w:sz="4"/>
              <w:left w:val="single" w:color="BFC5CC" w:sz="4"/>
              <w:bottom w:val="single" w:color="BFC5CC" w:sz="4"/>
              <w:right w:val="single" w:color="BFC5CC" w:sz="4"/>
            </w:tcBorders>
            <w:shd w:fill="EBEFEA" w:color="auto" w:val="clear"/>
            <w:tcMar>
              <w:top w:type="dxa" w:w="80"/>
              <w:left w:type="dxa" w:w="110"/>
              <w:bottom w:type="dxa" w:w="80"/>
              <w:right w:type="dxa" w:w="110"/>
            </w:tcMar>
          </w:tcPr>
          <w:p>
            <w:pPr>
              <w:spacing w:after="20"/>
            </w:pPr>
            <w:r>
              <w:rPr>
                <w:rFonts w:ascii="Arial" w:cs="Arial" w:eastAsia="Arial" w:hAnsi="Arial"/>
                <w:b/>
                <w:bCs/>
                <w:color w:val="2D3A2E"/>
                <w:sz w:val="19"/>
                <w:szCs w:val="19"/>
              </w:rPr>
              <w:t xml:space="preserve">2</w:t>
            </w:r>
          </w:p>
        </w:tc>
        <w:tc>
          <w:tcPr>
            <w:tcW w:type="dxa" w:w="3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1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ja  ☐ nee</w:t>
            </w:r>
          </w:p>
        </w:tc>
      </w:tr>
      <w:tr>
        <w:trPr>
          <w:trHeight w:val="900" w:hRule="atLeast"/>
        </w:trPr>
        <w:tc>
          <w:tcPr>
            <w:tcW w:type="dxa" w:w="600"/>
            <w:tcBorders>
              <w:top w:val="single" w:color="BFC5CC" w:sz="4"/>
              <w:left w:val="single" w:color="BFC5CC" w:sz="4"/>
              <w:bottom w:val="single" w:color="BFC5CC" w:sz="4"/>
              <w:right w:val="single" w:color="BFC5CC" w:sz="4"/>
            </w:tcBorders>
            <w:shd w:fill="EBEFEA" w:color="auto" w:val="clear"/>
            <w:tcMar>
              <w:top w:type="dxa" w:w="80"/>
              <w:left w:type="dxa" w:w="110"/>
              <w:bottom w:type="dxa" w:w="80"/>
              <w:right w:type="dxa" w:w="110"/>
            </w:tcMar>
          </w:tcPr>
          <w:p>
            <w:pPr>
              <w:spacing w:after="20"/>
            </w:pPr>
            <w:r>
              <w:rPr>
                <w:rFonts w:ascii="Arial" w:cs="Arial" w:eastAsia="Arial" w:hAnsi="Arial"/>
                <w:b/>
                <w:bCs/>
                <w:color w:val="2D3A2E"/>
                <w:sz w:val="19"/>
                <w:szCs w:val="19"/>
              </w:rPr>
              <w:t xml:space="preserve">3</w:t>
            </w:r>
          </w:p>
        </w:tc>
        <w:tc>
          <w:tcPr>
            <w:tcW w:type="dxa" w:w="3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1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ja  ☐ nee</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HET BESLUIT NA AFLOOP</w:t>
      </w:r>
    </w:p>
    <w:p>
      <w:pPr>
        <w:spacing w:after="0"/>
      </w:pPr>
      <w:r>
        <w:rPr>
          <w:rFonts w:ascii="Arial" w:cs="Arial" w:eastAsia="Arial" w:hAnsi="Arial"/>
          <w:b/>
          <w:bCs/>
          <w:sz w:val="20"/>
          <w:szCs w:val="20"/>
        </w:rPr>
        <w:t xml:space="preserve">Houden, aanpassen of intrekken? Waarom?</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Wat zag de groep dankzij de advocaat wat eerst onzichtbaar was? Onderbouw met minstens twee perspectieven, bijvoorbeeld rechtvaardigheid en gevolgen.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advocaat van de duivel (algemeen repertoire tegen groepsdenken).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012ff9a663f3d1384071898ec7466a1909b8f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MW26 Niemand had bezwaar (HBO HRM, NL)</dc:title>
  <dc:creator>Moreel Vakmanschap</dc:creator>
  <cp:lastModifiedBy>Un-named</cp:lastModifiedBy>
  <cp:revision>1</cp:revision>
  <dcterms:created xsi:type="dcterms:W3CDTF">2026-09-29T10:22:51.029Z</dcterms:created>
  <dcterms:modified xsi:type="dcterms:W3CDTF">2026-09-29T10:22:51.029Z</dcterms:modified>
</cp:coreProperties>
</file>

<file path=docProps/custom.xml><?xml version="1.0" encoding="utf-8"?>
<Properties xmlns="http://schemas.openxmlformats.org/officeDocument/2006/custom-properties" xmlns:vt="http://schemas.openxmlformats.org/officeDocument/2006/docPropsVTypes"/>
</file>