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FFC145" w:sz="24"/>
              <w:right w:val="none" w:color="FFFFFF" w:sz="0"/>
            </w:tcBorders>
            <w:shd w:fill="5B5F97"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ASSIGNMENT MW30 — DATA ETHICS CANVAS · HRM</w:t>
            </w:r>
          </w:p>
          <w:p>
            <w:pPr>
              <w:spacing w:after="40" w:line="250"/>
            </w:pPr>
            <w:r>
              <w:rPr>
                <w:rFonts w:ascii="Arial" w:cs="Arial" w:eastAsia="Arial" w:hAnsi="Arial"/>
                <w:b/>
                <w:bCs/>
                <w:color w:val="FFFFFF"/>
                <w:sz w:val="34"/>
                <w:szCs w:val="34"/>
              </w:rPr>
              <w:t xml:space="preserve">Who will leave next year?</w:t>
            </w:r>
          </w:p>
          <w:p>
            <w:pPr>
              <w:spacing w:after="0"/>
            </w:pPr>
            <w:r>
              <w:rPr>
                <w:rFonts w:ascii="Arial" w:cs="Arial" w:eastAsia="Arial" w:hAnsi="Arial"/>
                <w:color w:val="DDE6F0"/>
                <w:sz w:val="19"/>
                <w:szCs w:val="19"/>
              </w:rPr>
              <w:t xml:space="preserve">Case: Van Dam Logistics</w:t>
            </w:r>
          </w:p>
        </w:tc>
        <w:tc>
          <w:tcPr>
            <w:tcW w:type="dxa" w:w="2606"/>
            <w:tcBorders>
              <w:top w:val="none" w:color="FFFFFF" w:sz="0"/>
              <w:left w:val="none" w:color="FFFFFF" w:sz="0"/>
              <w:bottom w:val="single" w:color="FFC145"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COMPLEXITY</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2F7FC1" w:color="auto" w:val="clear"/>
        </w:rPr>
        <w:t xml:space="preserve"> SEEING </w:t>
      </w:r>
      <w:r>
        <w:rPr>
          <w:rFonts w:ascii="Arial" w:cs="Arial" w:eastAsia="Arial" w:hAnsi="Arial"/>
          <w:sz w:val="17"/>
          <w:szCs w:val="17"/>
        </w:rPr>
        <w:t xml:space="preserve">  </w:t>
      </w:r>
      <w:r>
        <w:rPr>
          <w:rFonts w:ascii="Arial" w:cs="Arial" w:eastAsia="Arial" w:hAnsi="Arial"/>
          <w:b/>
          <w:bCs/>
          <w:color w:val="FFFFFF"/>
          <w:sz w:val="17"/>
          <w:szCs w:val="17"/>
          <w:shd w:fill="D4537E" w:color="auto" w:val="clear"/>
        </w:rPr>
        <w:t xml:space="preserve"> WEIGHING </w:t>
      </w:r>
      <w:r>
        <w:rPr>
          <w:rFonts w:ascii="Arial" w:cs="Arial" w:eastAsia="Arial" w:hAnsi="Arial"/>
          <w:sz w:val="17"/>
          <w:szCs w:val="17"/>
        </w:rPr>
        <w:t xml:space="preserve">  </w:t>
      </w:r>
      <w:r>
        <w:rPr>
          <w:rFonts w:ascii="Arial" w:cs="Arial" w:eastAsia="Arial" w:hAnsi="Arial"/>
          <w:b/>
          <w:bCs/>
          <w:color w:val="FFFFFF"/>
          <w:sz w:val="17"/>
          <w:szCs w:val="17"/>
          <w:shd w:fill="1D9E75" w:color="auto" w:val="clear"/>
        </w:rPr>
        <w:t xml:space="preserve"> ACTING </w:t>
      </w:r>
      <w:r>
        <w:rPr>
          <w:rFonts w:ascii="Arial" w:cs="Arial" w:eastAsia="Arial" w:hAnsi="Arial"/>
          <w:sz w:val="17"/>
          <w:szCs w:val="17"/>
        </w:rPr>
        <w:t xml:space="preserve">  </w:t>
      </w:r>
      <w:r>
        <w:rPr>
          <w:rFonts w:ascii="Arial" w:cs="Arial" w:eastAsia="Arial" w:hAnsi="Arial"/>
          <w:color w:val="5F5E5A"/>
          <w:sz w:val="17"/>
          <w:szCs w:val="17"/>
        </w:rPr>
        <w:t xml:space="preserve">     Time: 90 min     Group: 3–6 students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FFC145" w:sz="6"/>
              <w:left w:val="single" w:color="FFC145" w:sz="6"/>
              <w:bottom w:val="single" w:color="FFC145" w:sz="6"/>
              <w:right w:val="single" w:color="FFC145"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CECF5"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Van Dam Logistics employs 1,200 people, and many drivers and warehouse workers leave after two years. The HR team commissions an analysis of scheduling, absence, salary and appraisal data. Every month the dashboard gives a “leaving risk” for each employee, from low to high.</w:t>
            </w:r>
          </w:p>
          <w:p>
            <w:pPr>
              <w:spacing w:after="100" w:line="288"/>
            </w:pPr>
            <w:r>
              <w:rPr>
                <w:rFonts w:ascii="Arial" w:cs="Arial" w:eastAsia="Arial" w:hAnsi="Arial"/>
                <w:sz w:val="21"/>
                <w:szCs w:val="21"/>
              </w:rPr>
              <w:t xml:space="preserve">HR adviser Sem sees the opportunities: managers can start conversations earlier. But he also sees what could happen. A team leader says: “Then I won’t give the high-risk ones any new training.” And nobody has told employees that their data are being used in this way.</w:t>
            </w:r>
          </w:p>
          <w:p>
            <w:pPr>
              <w:spacing w:after="40" w:line="288"/>
            </w:pPr>
            <w:r>
              <w:rPr>
                <w:rFonts w:ascii="Arial" w:cs="Arial" w:eastAsia="Arial" w:hAnsi="Arial"/>
                <w:sz w:val="21"/>
                <w:szCs w:val="21"/>
              </w:rPr>
              <w:t xml:space="preserve">The director wants the dashboard to go live in two weeks. Sem asks for one working session to test the plans on ethics.</w:t>
            </w:r>
          </w:p>
        </w:tc>
      </w:tr>
    </w:tbl>
    <w:p>
      <w:pPr>
        <w:spacing w:after="0" w:before="60"/>
      </w:pPr>
      <w:r>
        <w:rPr>
          <w:rFonts w:ascii="Arial" w:cs="Arial" w:eastAsia="Arial" w:hAnsi="Arial"/>
          <w:i/>
          <w:iCs/>
          <w:color w:val="5F5E5A"/>
          <w:sz w:val="15"/>
          <w:szCs w:val="15"/>
        </w:rPr>
        <w:t xml:space="preserve">Fictional case. Any resemblance to real persons or organisations is coincidental.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HOW TO WORK</w:t>
      </w:r>
    </w:p>
    <w:p>
      <w:pPr>
        <w:pStyle w:val="ListParagraph"/>
        <w:numPr>
          <w:ilvl w:val="0"/>
          <w:numId w:val="2"/>
        </w:numPr>
        <w:spacing w:after="50" w:line="264"/>
      </w:pPr>
      <w:r>
        <w:rPr>
          <w:rFonts w:ascii="Arial" w:cs="Arial" w:eastAsia="Arial" w:hAnsi="Arial"/>
          <w:sz w:val="20"/>
          <w:szCs w:val="20"/>
        </w:rPr>
        <w:t xml:space="preserve">Read the case. Underline which data are used.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Fill in boxes 1 and 2: purpose and data.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Fill in boxes 3, 4 and 5: rights, who benefits or is at risk, and data quality. </w:t>
      </w:r>
      <w:r>
        <w:rPr>
          <w:rFonts w:ascii="Arial" w:cs="Arial" w:eastAsia="Arial" w:hAnsi="Arial"/>
          <w:i/>
          <w:iCs/>
          <w:color w:val="5F5E5A"/>
          <w:sz w:val="18"/>
          <w:szCs w:val="18"/>
        </w:rPr>
        <w:t xml:space="preserve">(30 min)</w:t>
      </w:r>
    </w:p>
    <w:p>
      <w:pPr>
        <w:pStyle w:val="ListParagraph"/>
        <w:numPr>
          <w:ilvl w:val="0"/>
          <w:numId w:val="2"/>
        </w:numPr>
        <w:spacing w:after="50" w:line="264"/>
      </w:pPr>
      <w:r>
        <w:rPr>
          <w:rFonts w:ascii="Arial" w:cs="Arial" w:eastAsia="Arial" w:hAnsi="Arial"/>
          <w:sz w:val="20"/>
          <w:szCs w:val="20"/>
        </w:rPr>
        <w:t xml:space="preserve">Fill in boxes 6 and 7: transparency and accountability. </w:t>
      </w:r>
      <w:r>
        <w:rPr>
          <w:rFonts w:ascii="Arial" w:cs="Arial" w:eastAsia="Arial" w:hAnsi="Arial"/>
          <w:i/>
          <w:iCs/>
          <w:color w:val="5F5E5A"/>
          <w:sz w:val="18"/>
          <w:szCs w:val="18"/>
        </w:rPr>
        <w:t xml:space="preserve">(20 min)</w:t>
      </w:r>
    </w:p>
    <w:p>
      <w:pPr>
        <w:pStyle w:val="ListParagraph"/>
        <w:numPr>
          <w:ilvl w:val="0"/>
          <w:numId w:val="2"/>
        </w:numPr>
        <w:spacing w:after="50" w:line="264"/>
      </w:pPr>
      <w:r>
        <w:rPr>
          <w:rFonts w:ascii="Arial" w:cs="Arial" w:eastAsia="Arial" w:hAnsi="Arial"/>
          <w:sz w:val="20"/>
          <w:szCs w:val="20"/>
        </w:rPr>
        <w:t xml:space="preserve">Fill in box 8 and choose an advice to the director. </w:t>
      </w:r>
      <w:r>
        <w:rPr>
          <w:rFonts w:ascii="Arial" w:cs="Arial" w:eastAsia="Arial" w:hAnsi="Arial"/>
          <w:i/>
          <w:iCs/>
          <w:color w:val="5F5E5A"/>
          <w:sz w:val="18"/>
          <w:szCs w:val="18"/>
        </w:rPr>
        <w:t xml:space="preserve">(20 min)</w:t>
      </w:r>
    </w:p>
    <w:p>
      <w:pPr>
        <w:keepNext/>
        <w:pBdr>
          <w:bottom w:val="single" w:color="5B2D8E" w:sz="8" w:space="2"/>
        </w:pBdr>
        <w:spacing w:after="90" w:before="200"/>
      </w:pPr>
      <w:r>
        <w:rPr>
          <w:rFonts w:ascii="Arial" w:cs="Arial" w:eastAsia="Arial" w:hAnsi="Arial"/>
          <w:b/>
          <w:bCs/>
          <w:color w:val="5B2D8E"/>
          <w:spacing w:val="30"/>
          <w:sz w:val="20"/>
          <w:szCs w:val="20"/>
        </w:rPr>
        <w:t xml:space="preserve">THE CANVAS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rHeight w:val="165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5B5F97"/>
                <w:sz w:val="18"/>
                <w:szCs w:val="18"/>
              </w:rPr>
              <w:t xml:space="preserve">1. Purpose</w:t>
            </w:r>
          </w:p>
          <w:p>
            <w:pPr>
              <w:spacing w:after="0" w:line="220"/>
            </w:pPr>
            <w:r>
              <w:rPr>
                <w:rFonts w:ascii="Arial" w:cs="Arial" w:eastAsia="Arial" w:hAnsi="Arial"/>
                <w:i/>
                <w:iCs/>
                <w:color w:val="5F5E5A"/>
                <w:sz w:val="15"/>
                <w:szCs w:val="15"/>
              </w:rPr>
              <w:t xml:space="preserve">What do we use the dashboard for? What is the desired result?</w:t>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5B5F97"/>
                <w:sz w:val="18"/>
                <w:szCs w:val="18"/>
              </w:rPr>
              <w:t xml:space="preserve">2. Data</w:t>
            </w:r>
          </w:p>
          <w:p>
            <w:pPr>
              <w:spacing w:after="0" w:line="220"/>
            </w:pPr>
            <w:r>
              <w:rPr>
                <w:rFonts w:ascii="Arial" w:cs="Arial" w:eastAsia="Arial" w:hAnsi="Arial"/>
                <w:i/>
                <w:iCs/>
                <w:color w:val="5F5E5A"/>
                <w:sz w:val="15"/>
                <w:szCs w:val="15"/>
              </w:rPr>
              <w:t xml:space="preserve">Which data? Where do they come from?</w:t>
            </w:r>
          </w:p>
        </w:tc>
      </w:tr>
      <w:tr>
        <w:trPr>
          <w:trHeight w:val="165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5B5F97"/>
                <w:sz w:val="18"/>
                <w:szCs w:val="18"/>
              </w:rPr>
              <w:t xml:space="preserve">3. Rights</w:t>
            </w:r>
          </w:p>
          <w:p>
            <w:pPr>
              <w:spacing w:after="0" w:line="220"/>
            </w:pPr>
            <w:r>
              <w:rPr>
                <w:rFonts w:ascii="Arial" w:cs="Arial" w:eastAsia="Arial" w:hAnsi="Arial"/>
                <w:i/>
                <w:iCs/>
                <w:color w:val="5F5E5A"/>
                <w:sz w:val="15"/>
                <w:szCs w:val="15"/>
              </w:rPr>
              <w:t xml:space="preserve">What rights do employees have? Is there consent or another legal basis?</w:t>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5B5F97"/>
                <w:sz w:val="18"/>
                <w:szCs w:val="18"/>
              </w:rPr>
              <w:t xml:space="preserve">4. Benefit and risk</w:t>
            </w:r>
          </w:p>
          <w:p>
            <w:pPr>
              <w:spacing w:after="0" w:line="220"/>
            </w:pPr>
            <w:r>
              <w:rPr>
                <w:rFonts w:ascii="Arial" w:cs="Arial" w:eastAsia="Arial" w:hAnsi="Arial"/>
                <w:i/>
                <w:iCs/>
                <w:color w:val="5F5E5A"/>
                <w:sz w:val="15"/>
                <w:szCs w:val="15"/>
              </w:rPr>
              <w:t xml:space="preserve">Who benefits and who is at risk?</w:t>
            </w:r>
          </w:p>
        </w:tc>
      </w:tr>
      <w:tr>
        <w:trPr>
          <w:trHeight w:val="165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5B5F97"/>
                <w:sz w:val="18"/>
                <w:szCs w:val="18"/>
              </w:rPr>
              <w:t xml:space="preserve">5. Quality</w:t>
            </w:r>
          </w:p>
          <w:p>
            <w:pPr>
              <w:spacing w:after="0" w:line="220"/>
            </w:pPr>
            <w:r>
              <w:rPr>
                <w:rFonts w:ascii="Arial" w:cs="Arial" w:eastAsia="Arial" w:hAnsi="Arial"/>
                <w:i/>
                <w:iCs/>
                <w:color w:val="5F5E5A"/>
                <w:sz w:val="15"/>
                <w:szCs w:val="15"/>
              </w:rPr>
              <w:t xml:space="preserve">What can go wrong in the data or the model? Where is the bias?</w:t>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5B5F97"/>
                <w:sz w:val="18"/>
                <w:szCs w:val="18"/>
              </w:rPr>
              <w:t xml:space="preserve">6. Transparency</w:t>
            </w:r>
          </w:p>
          <w:p>
            <w:pPr>
              <w:spacing w:after="0" w:line="220"/>
            </w:pPr>
            <w:r>
              <w:rPr>
                <w:rFonts w:ascii="Arial" w:cs="Arial" w:eastAsia="Arial" w:hAnsi="Arial"/>
                <w:i/>
                <w:iCs/>
                <w:color w:val="5F5E5A"/>
                <w:sz w:val="15"/>
                <w:szCs w:val="15"/>
              </w:rPr>
              <w:t xml:space="preserve">What do we tell employees, and when?</w:t>
            </w:r>
          </w:p>
        </w:tc>
      </w:tr>
      <w:tr>
        <w:trPr>
          <w:trHeight w:val="165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5B5F97"/>
                <w:sz w:val="18"/>
                <w:szCs w:val="18"/>
              </w:rPr>
              <w:t xml:space="preserve">7. Accountability</w:t>
            </w:r>
          </w:p>
          <w:p>
            <w:pPr>
              <w:spacing w:after="0" w:line="220"/>
            </w:pPr>
            <w:r>
              <w:rPr>
                <w:rFonts w:ascii="Arial" w:cs="Arial" w:eastAsia="Arial" w:hAnsi="Arial"/>
                <w:i/>
                <w:iCs/>
                <w:color w:val="5F5E5A"/>
                <w:sz w:val="15"/>
                <w:szCs w:val="15"/>
              </w:rPr>
              <w:t xml:space="preserve">Who decides, who checks, and where can someone object?</w:t>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5B5F97"/>
                <w:sz w:val="18"/>
                <w:szCs w:val="18"/>
              </w:rPr>
              <w:t xml:space="preserve">8. Actions</w:t>
            </w:r>
          </w:p>
          <w:p>
            <w:pPr>
              <w:spacing w:after="0" w:line="220"/>
            </w:pPr>
            <w:r>
              <w:rPr>
                <w:rFonts w:ascii="Arial" w:cs="Arial" w:eastAsia="Arial" w:hAnsi="Arial"/>
                <w:i/>
                <w:iCs/>
                <w:color w:val="5F5E5A"/>
                <w:sz w:val="15"/>
                <w:szCs w:val="15"/>
              </w:rPr>
              <w:t xml:space="preserve">What do we adjust before going live?</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1D9E75" w:color="auto" w:val="clear"/>
        </w:rPr>
        <w:t xml:space="preserve"> ACTING </w:t>
      </w:r>
      <w:r>
        <w:rPr>
          <w:rFonts w:ascii="Arial" w:cs="Arial" w:eastAsia="Arial" w:hAnsi="Arial"/>
          <w:sz w:val="20"/>
          <w:szCs w:val="20"/>
        </w:rPr>
        <w:t xml:space="preserve">  What do you say to the director about the two-week timeline? What exactly do you say, and to whom?</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D4537E" w:color="auto" w:val="clear"/>
        </w:rPr>
        <w:t xml:space="preserve"> WEIGHING </w:t>
      </w:r>
      <w:r>
        <w:rPr>
          <w:rFonts w:ascii="Arial" w:cs="Arial" w:eastAsia="Arial" w:hAnsi="Arial"/>
          <w:sz w:val="20"/>
          <w:szCs w:val="20"/>
        </w:rPr>
        <w:t xml:space="preserve">  Which perspective (consequences, rights, character) weighed most heavily for you, and why?</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sectPr>
      <w:headerReference w:type="default" r:id="rId7"/>
      <w:footerReference w:type="default" r:id="rId8"/>
      <w:headerReference w:type="first" r:id="rId11"/>
      <w:footerReference w:type="first" r:id="rId12"/>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Based on The Data Ethics Canvas – Open Data Institute – CC BY-SA 4.0 – https://theodi.org/ (shortened to eight boxes). Adaptation and case: Moral Craftsmanship, moralcraftsmanship.com. Licence: CC BY-SA 4.0 – https://creativecommons.org/licenses/by-sa/4.0/deed.en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MORAL CRAFTSMANSHIP · RESEARCH GROUP ETHICAL PRACTICE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c43ea7a7b4f3cb7d2f43b9c61d44db0d9877480.jpg"/><Relationship Id="rId10"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MW30 Who will leave next year? (Higher education HRM, EN, student version)</dc:title>
  <dc:creator>Moreel Vakmanschap</dc:creator>
  <cp:lastModifiedBy>Moral Craftsmanship</cp:lastModifiedBy>
  <cp:revision>1</cp:revision>
  <dcterms:created xsi:type="dcterms:W3CDTF">2026-09-30T08:50:13.660Z</dcterms:created>
  <dcterms:modified xsi:type="dcterms:W3CDTF">2026-09-30T08:50:13.660Z</dcterms:modified>
  <dc:language>en-GB</dc:language>
</cp:coreProperties>
</file>

<file path=docProps/custom.xml><?xml version="1.0" encoding="utf-8"?>
<Properties xmlns="http://schemas.openxmlformats.org/officeDocument/2006/custom-properties" xmlns:vt="http://schemas.openxmlformats.org/officeDocument/2006/docPropsVTypes"/>
</file>