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FFC145" w:sz="24"/>
              <w:right w:val="none" w:color="FFFFFF" w:sz="0"/>
            </w:tcBorders>
            <w:shd w:fill="5B5F97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TEACHER VERSION · MW30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Who will leave next year?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Higher education (UAS) · HRM · English · accompanies the 2-page student version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FFC145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COMPLEXITY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MESO ★★☆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LEARNING OUTCOMES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ethically analyse a data application in HR using a canvas. (Seeing, Weighing)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name the risks of predictive models for employees. (Seeing)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formulate a well-founded advice and name the first step. (Acting)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COMPLEXITY: WHY MESO?</w:t>
      </w:r>
    </w:p>
    <w:p>
      <w:pPr>
        <w:spacing w:after="5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Meso: the HR adviser weighs management’s wish for lower turnover against the rights and trust of employees, within the culture and rules of the company.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Test: </w:t>
      </w:r>
      <w:r>
        <w:rPr>
          <w:rFonts w:ascii="Arial" w:cs="Arial" w:eastAsia="Arial" w:hAnsi="Arial"/>
          <w:sz w:val="19"/>
          <w:szCs w:val="19"/>
        </w:rPr>
        <w:t xml:space="preserve">“Who or what would have to change for this dilemma to disappear?” Answer: the way the company handles personnel data. That is Meso.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 Micro: </w:t>
      </w:r>
      <w:r>
        <w:rPr>
          <w:rFonts w:ascii="Arial" w:cs="Arial" w:eastAsia="Arial" w:hAnsi="Arial"/>
          <w:sz w:val="19"/>
          <w:szCs w:val="19"/>
        </w:rPr>
        <w:t xml:space="preserve">management, team leaders and employees play a significant role (decision rule 2).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 Macro: </w:t>
      </w:r>
      <w:r>
        <w:rPr>
          <w:rFonts w:ascii="Arial" w:cs="Arial" w:eastAsia="Arial" w:hAnsi="Arial"/>
          <w:sz w:val="19"/>
          <w:szCs w:val="19"/>
        </w:rPr>
        <w:t xml:space="preserve">data protection law (such as the GDPR) is in the background, but the core is company practice (decision rule 3).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PREPARATION AND PROCEDURE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Materials: </w:t>
      </w:r>
      <w:r>
        <w:rPr>
          <w:rFonts w:ascii="Arial" w:cs="Arial" w:eastAsia="Arial" w:hAnsi="Arial"/>
          <w:sz w:val="19"/>
          <w:szCs w:val="19"/>
        </w:rPr>
        <w:t xml:space="preserve">student version printed double-sided, pens, timer. Groups of 3–6. Allow 90 minutes; easy to split over two lessons (boxes 1–5 and boxes 6–8).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Role of the facilitator: </w:t>
      </w:r>
      <w:r>
        <w:rPr>
          <w:rFonts w:ascii="Arial" w:cs="Arial" w:eastAsia="Arial" w:hAnsi="Arial"/>
          <w:sz w:val="19"/>
          <w:szCs w:val="19"/>
        </w:rPr>
        <w:t xml:space="preserve">do not put data protection law at the centre. Let students first ask themselves what is allowed and what is desirable.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Source: </w:t>
      </w:r>
      <w:r>
        <w:rPr>
          <w:rFonts w:ascii="Arial" w:cs="Arial" w:eastAsia="Arial" w:hAnsi="Arial"/>
          <w:sz w:val="19"/>
          <w:szCs w:val="19"/>
        </w:rPr>
        <w:t xml:space="preserve">shortened to eight boxes; the worksheet is therefore also published under CC BY-SA.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PITFALLS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Students only see the benefits for HR. Ask: “Who is looking along, and who isn’t?”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Students reason “but it’s anonymised”. Ask about recognisability in small teams.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action becomes “more communication”. Ask what concretely changes in the plan.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GUIDANCE FOR THE BOXES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5B5F9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Box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5B5F9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Question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CE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5B5F97"/>
                <w:sz w:val="17"/>
                <w:szCs w:val="17"/>
              </w:rPr>
              <w:t xml:space="preserve">4. Benefit and risk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What happens to someone with a “high risk”? Who decides on that?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CE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5B5F97"/>
                <w:sz w:val="17"/>
                <w:szCs w:val="17"/>
              </w:rPr>
              <w:t xml:space="preserve">5. Quality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What do the data not say? Who is missing or over-represented?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CE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5B5F97"/>
                <w:sz w:val="17"/>
                <w:szCs w:val="17"/>
              </w:rPr>
              <w:t xml:space="preserve">6. Transparency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Does an employee know their score, and can they contest it?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CE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5B5F97"/>
                <w:sz w:val="17"/>
                <w:szCs w:val="17"/>
              </w:rPr>
              <w:t xml:space="preserve">7. Accountability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Who in the organisation can stop the dashboard?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VARIATIONS AND DIFFERENTIATION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Shorter (60 min): </w:t>
      </w:r>
      <w:r>
        <w:rPr>
          <w:rFonts w:ascii="Arial" w:cs="Arial" w:eastAsia="Arial" w:hAnsi="Arial"/>
          <w:sz w:val="19"/>
          <w:szCs w:val="19"/>
        </w:rPr>
        <w:t xml:space="preserve">work with boxes 1, 4, 6 and 8.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Online: </w:t>
      </w:r>
      <w:r>
        <w:rPr>
          <w:rFonts w:ascii="Arial" w:cs="Arial" w:eastAsia="Arial" w:hAnsi="Arial"/>
          <w:sz w:val="19"/>
          <w:szCs w:val="19"/>
        </w:rPr>
        <w:t xml:space="preserve">use a shared board with eight fields.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Large group: </w:t>
      </w:r>
      <w:r>
        <w:rPr>
          <w:rFonts w:ascii="Arial" w:cs="Arial" w:eastAsia="Arial" w:hAnsi="Arial"/>
          <w:sz w:val="19"/>
          <w:szCs w:val="19"/>
        </w:rPr>
        <w:t xml:space="preserve">have each group work out two boxes and present them together.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Higher education (this version): </w:t>
      </w:r>
      <w:r>
        <w:rPr>
          <w:rFonts w:ascii="Arial" w:cs="Arial" w:eastAsia="Arial" w:hAnsi="Arial"/>
          <w:sz w:val="19"/>
          <w:szCs w:val="19"/>
        </w:rPr>
        <w:t xml:space="preserve">at least two ethical perspectives and a well-founded choice. For vocational education: CEFR B1 language and one question per step. For research universities: name and critique theories explicitly.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REFERENCES (APA 7)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Creative Commons. (n.d.). About CC licenses. https://creativecommons.org/share-your-work/cclicenses/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Meijer, K. (2023). Impossible and inevitable: Reconstructing the critique of business ethics [Doctoral dissertation, Tilburg University]. Ridderprint.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Open Data Institute. (2021). The Data Ethics Canvas. https://theodi.org/insights/tools/the-data-ethics-canvas-2021/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Complexity determined using the research group’s working definition, based on the micro-meso-macro thinking of Meijer (2023).</w:t>
      </w:r>
    </w:p>
    <w:sectPr>
      <w:headerReference w:type="default" r:id="rId7"/>
      <w:footerReference w:type="default" r:id="rId8"/>
      <w:headerReference w:type="first" r:id="rId10"/>
      <w:footerReference w:type="first" r:id="rId11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Based on The Data Ethics Canvas – Open Data Institute – CC BY-SA 4.0 – https://theodi.org/ (shortened to eight boxes). Adaptation and case: Moral Craftsmanship, moralcraftsmanship.com. Licence: CC BY-SA 4.0 – https://creativecommons.org/licenses/by-sa/4.0/deed.en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MORAL CRAFTSMANSHIP · RESEARCH GROUP ETHICAL PRACTICE · TEACHER VERSION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MW30 Who will leave next year? (Higher education HRM, EN, teacher version)</dc:title>
  <dc:creator>Moreel Vakmanschap</dc:creator>
  <cp:lastModifiedBy>Moral Craftsmanship</cp:lastModifiedBy>
  <cp:revision>1</cp:revision>
  <dcterms:created xsi:type="dcterms:W3CDTF">2026-09-30T08:50:13.834Z</dcterms:created>
  <dcterms:modified xsi:type="dcterms:W3CDTF">2026-09-30T08:50:13.834Z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