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0A030" w:sz="24"/>
              <w:right w:val="none" w:color="FFFFFF" w:sz="0"/>
            </w:tcBorders>
            <w:shd w:fill="A64B7A"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MW35 — ETHIEKMODULE PRIVACY · HRM</w:t>
            </w:r>
          </w:p>
          <w:p>
            <w:pPr>
              <w:spacing w:after="40" w:line="250"/>
            </w:pPr>
            <w:r>
              <w:rPr>
                <w:rFonts w:ascii="Arial" w:cs="Arial" w:eastAsia="Arial" w:hAnsi="Arial"/>
                <w:b/>
                <w:bCs/>
                <w:color w:val="FFFFFF"/>
                <w:sz w:val="34"/>
                <w:szCs w:val="34"/>
              </w:rPr>
              <w:t xml:space="preserve">De slimme badge</w:t>
            </w:r>
          </w:p>
          <w:p>
            <w:pPr>
              <w:spacing w:after="0"/>
            </w:pPr>
            <w:r>
              <w:rPr>
                <w:rFonts w:ascii="Arial" w:cs="Arial" w:eastAsia="Arial" w:hAnsi="Arial"/>
                <w:color w:val="DDE6F0"/>
                <w:sz w:val="19"/>
                <w:szCs w:val="19"/>
              </w:rPr>
              <w:t xml:space="preserve">Casus: een kantoor met 300 medewerkers</w:t>
            </w:r>
          </w:p>
        </w:tc>
        <w:tc>
          <w:tcPr>
            <w:tcW w:type="dxa" w:w="2606"/>
            <w:tcBorders>
              <w:top w:val="none" w:color="FFFFFF" w:sz="0"/>
              <w:left w:val="none" w:color="FFFFFF" w:sz="0"/>
              <w:bottom w:val="single" w:color="E0A030"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     Duur: 75 min     Groep: Klas (10–30)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E0A030" w:sz="6"/>
              <w:left w:val="single" w:color="E0A030" w:sz="6"/>
              <w:bottom w:val="single" w:color="E0A030" w:sz="6"/>
              <w:right w:val="single" w:color="E0A030"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F6E9F0"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Een kantoor met 300 medewerkers voert slimme badges in. De badge opent deuren, maar registreert ook waar iemand is en hoe lang. De directie zegt dat het gaat om brandveiligheid en om het beter benutten van werkplekken.</w:t>
            </w:r>
          </w:p>
          <w:p>
            <w:pPr>
              <w:spacing w:after="100" w:line="288"/>
            </w:pPr>
            <w:r>
              <w:rPr>
                <w:rFonts w:ascii="Arial" w:cs="Arial" w:eastAsia="Arial" w:hAnsi="Arial"/>
                <w:sz w:val="21"/>
                <w:szCs w:val="21"/>
              </w:rPr>
              <w:t xml:space="preserve">HR-adviseur Pieter hoort van een medewerker: “Mijn badge weet dat ik drie keer per dag naar de kinderopvang bel vanuit de gang.” Een andere collega: “Ik ga elke dinsdag naar de vertrouwenspersoon. Ziet iemand dat?” De IT-manager: “We kijken alleen naar totalen.” De data staan wel per persoon in het systeem.</w:t>
            </w:r>
          </w:p>
          <w:p>
            <w:pPr>
              <w:spacing w:after="40" w:line="288"/>
            </w:pPr>
            <w:r>
              <w:rPr>
                <w:rFonts w:ascii="Arial" w:cs="Arial" w:eastAsia="Arial" w:hAnsi="Arial"/>
                <w:sz w:val="21"/>
                <w:szCs w:val="21"/>
              </w:rPr>
              <w:t xml:space="preserve">De invoering staat over twee weken gepland. Pieter wil een advies schrijven aan de directie. Hij begint met drie vragen: welke gegevens, wie profiteert, wie draagt het risico?</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en vul de drie vragen in: welke gegevens, wie profiteert, wie draagt het risico.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Bepaal welke waarden in het spel zijn en geef elke waarde een gewicht (laag, midden, hoog).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Bedenk opties waarmee de doelen (veiligheid, benutting) bereikt worden met minder privacyrisico. </w:t>
      </w:r>
      <w:r>
        <w:rPr>
          <w:rFonts w:ascii="Arial" w:cs="Arial" w:eastAsia="Arial" w:hAnsi="Arial"/>
          <w:i/>
          <w:iCs/>
          <w:color w:val="5F5E5A"/>
          <w:sz w:val="18"/>
          <w:szCs w:val="18"/>
        </w:rPr>
        <w:t xml:space="preserve">(20 min)</w:t>
      </w:r>
    </w:p>
    <w:p>
      <w:pPr>
        <w:pStyle w:val="ListParagraph"/>
        <w:numPr>
          <w:ilvl w:val="0"/>
          <w:numId w:val="2"/>
        </w:numPr>
        <w:spacing w:after="50" w:line="264"/>
      </w:pPr>
      <w:r>
        <w:rPr>
          <w:rFonts w:ascii="Arial" w:cs="Arial" w:eastAsia="Arial" w:hAnsi="Arial"/>
          <w:sz w:val="20"/>
          <w:szCs w:val="20"/>
        </w:rPr>
        <w:t xml:space="preserve">Kies één optie en schrijf een advies van vier zinnen aan de directie.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Vul je reflectie in.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STAP 1 — DRIE VRAGEN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rHeight w:val="78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A64B7A"/>
                <w:sz w:val="18"/>
                <w:szCs w:val="18"/>
              </w:rPr>
              <w:t xml:space="preserve">Welke gegevens worden verzameld?</w:t>
            </w:r>
          </w:p>
          <w:p>
            <w:pPr>
              <w:spacing w:after="0" w:line="220"/>
            </w:pPr>
            <w:r>
              <w:rPr>
                <w:rFonts w:ascii="Arial" w:cs="Arial" w:eastAsia="Arial" w:hAnsi="Arial"/>
                <w:i/>
                <w:iCs/>
                <w:color w:val="5F5E5A"/>
                <w:sz w:val="15"/>
                <w:szCs w:val="15"/>
              </w:rPr>
              <w:t xml:space="preserve">Ook: wat kun je daaruit afleiden?</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A64B7A"/>
                <w:sz w:val="18"/>
                <w:szCs w:val="18"/>
              </w:rPr>
              <w:t xml:space="preserve">Wie profiteert er?</w:t>
            </w:r>
          </w:p>
          <w:p>
            <w:pPr>
              <w:spacing w:after="0" w:line="220"/>
            </w:pPr>
            <w:r>
              <w:rPr>
                <w:rFonts w:ascii="Arial" w:cs="Arial" w:eastAsia="Arial" w:hAnsi="Arial"/>
                <w:i/>
                <w:iCs/>
                <w:color w:val="5F5E5A"/>
                <w:sz w:val="15"/>
                <w:szCs w:val="15"/>
              </w:rPr>
              <w:t xml:space="preserve">En hoe?</w:t>
            </w:r>
          </w:p>
        </w:tc>
      </w:tr>
      <w:tr>
        <w:trPr>
          <w:trHeight w:val="780" w:hRule="atLeast"/>
        </w:trPr>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A64B7A"/>
                <w:sz w:val="18"/>
                <w:szCs w:val="18"/>
              </w:rPr>
              <w:t xml:space="preserve">Wie draagt het risico?</w:t>
            </w:r>
          </w:p>
          <w:p>
            <w:pPr>
              <w:spacing w:after="0" w:line="220"/>
            </w:pPr>
            <w:r>
              <w:rPr>
                <w:rFonts w:ascii="Arial" w:cs="Arial" w:eastAsia="Arial" w:hAnsi="Arial"/>
                <w:i/>
                <w:iCs/>
                <w:color w:val="5F5E5A"/>
                <w:sz w:val="15"/>
                <w:szCs w:val="15"/>
              </w:rPr>
              <w:t xml:space="preserve">En wie merkt dat?</w:t>
            </w:r>
          </w:p>
        </w:tc>
        <w:tc>
          <w:tcPr>
            <w:tcW w:type="dxa" w:w="49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20"/>
            </w:pPr>
            <w:r>
              <w:rPr>
                <w:rFonts w:ascii="Arial" w:cs="Arial" w:eastAsia="Arial" w:hAnsi="Arial"/>
                <w:b/>
                <w:bCs/>
                <w:color w:val="A64B7A"/>
                <w:sz w:val="18"/>
                <w:szCs w:val="18"/>
              </w:rPr>
              <w:t xml:space="preserve">Wie bepaalt wat ermee gebeurt?</w:t>
            </w:r>
          </w:p>
          <w:p>
            <w:pPr>
              <w:spacing w:after="0" w:line="220"/>
            </w:pPr>
            <w:r>
              <w:rPr>
                <w:rFonts w:ascii="Arial" w:cs="Arial" w:eastAsia="Arial" w:hAnsi="Arial"/>
                <w:i/>
                <w:iCs/>
                <w:color w:val="5F5E5A"/>
                <w:sz w:val="15"/>
                <w:szCs w:val="15"/>
              </w:rPr>
              <w:t xml:space="preserve">En wie controleert dat?</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STAP 2 EN 3 — WAARDEN EN OPTIES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2506"/>
      </w:tblGrid>
      <w:tr>
        <w:trPr>
          <w:tblHeader/>
        </w:trPr>
        <w:tc>
          <w:tcPr>
            <w:tcW w:type="dxa" w:w="3000"/>
            <w:tcBorders>
              <w:top w:val="single" w:color="BFC5CC" w:sz="4"/>
              <w:left w:val="single" w:color="BFC5CC" w:sz="4"/>
              <w:bottom w:val="single" w:color="BFC5CC" w:sz="4"/>
              <w:right w:val="single" w:color="BFC5CC" w:sz="4"/>
            </w:tcBorders>
            <w:shd w:fill="A64B7A"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Waarde of optie</w:t>
            </w:r>
          </w:p>
        </w:tc>
        <w:tc>
          <w:tcPr>
            <w:tcW w:type="dxa" w:w="4400"/>
            <w:tcBorders>
              <w:top w:val="single" w:color="BFC5CC" w:sz="4"/>
              <w:left w:val="single" w:color="BFC5CC" w:sz="4"/>
              <w:bottom w:val="single" w:color="BFC5CC" w:sz="4"/>
              <w:right w:val="single" w:color="BFC5CC" w:sz="4"/>
            </w:tcBorders>
            <w:shd w:fill="A64B7A"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Wat betekent dat hier?</w:t>
            </w:r>
          </w:p>
        </w:tc>
        <w:tc>
          <w:tcPr>
            <w:tcW w:type="dxa" w:w="2506"/>
            <w:tcBorders>
              <w:top w:val="single" w:color="BFC5CC" w:sz="4"/>
              <w:left w:val="single" w:color="BFC5CC" w:sz="4"/>
              <w:bottom w:val="single" w:color="BFC5CC" w:sz="4"/>
              <w:right w:val="single" w:color="BFC5CC" w:sz="4"/>
            </w:tcBorders>
            <w:shd w:fill="A64B7A"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Gewicht / kosten</w:t>
            </w:r>
          </w:p>
        </w:tc>
      </w:tr>
      <w:tr>
        <w:trPr>
          <w:trHeight w:val="540" w:hRule="atLeast"/>
        </w:trPr>
        <w:tc>
          <w:tcPr>
            <w:tcW w:type="dxa" w:w="3000"/>
            <w:tcBorders>
              <w:top w:val="single" w:color="BFC5CC" w:sz="4"/>
              <w:left w:val="single" w:color="BFC5CC" w:sz="4"/>
              <w:bottom w:val="single" w:color="BFC5CC" w:sz="4"/>
              <w:right w:val="single" w:color="BFC5CC" w:sz="4"/>
            </w:tcBorders>
            <w:shd w:fill="F6E9F0" w:color="auto" w:val="clear"/>
            <w:tcMar>
              <w:top w:type="dxa" w:w="80"/>
              <w:left w:type="dxa" w:w="110"/>
              <w:bottom w:type="dxa" w:w="80"/>
              <w:right w:type="dxa" w:w="110"/>
            </w:tcMar>
          </w:tcPr>
          <w:p>
            <w:pPr>
              <w:spacing w:after="20"/>
            </w:pPr>
            <w:r>
              <w:rPr>
                <w:rFonts w:ascii="Arial" w:cs="Arial" w:eastAsia="Arial" w:hAnsi="Arial"/>
                <w:b/>
                <w:bCs/>
                <w:color w:val="A64B7A"/>
                <w:sz w:val="19"/>
                <w:szCs w:val="19"/>
              </w:rPr>
              <w:t xml:space="preserve">Privacy</w:t>
            </w:r>
          </w:p>
        </w:tc>
        <w:tc>
          <w:tcPr>
            <w:tcW w:type="dxa" w:w="4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40" w:hRule="atLeast"/>
        </w:trPr>
        <w:tc>
          <w:tcPr>
            <w:tcW w:type="dxa" w:w="3000"/>
            <w:tcBorders>
              <w:top w:val="single" w:color="BFC5CC" w:sz="4"/>
              <w:left w:val="single" w:color="BFC5CC" w:sz="4"/>
              <w:bottom w:val="single" w:color="BFC5CC" w:sz="4"/>
              <w:right w:val="single" w:color="BFC5CC" w:sz="4"/>
            </w:tcBorders>
            <w:shd w:fill="F6E9F0" w:color="auto" w:val="clear"/>
            <w:tcMar>
              <w:top w:type="dxa" w:w="80"/>
              <w:left w:type="dxa" w:w="110"/>
              <w:bottom w:type="dxa" w:w="80"/>
              <w:right w:type="dxa" w:w="110"/>
            </w:tcMar>
          </w:tcPr>
          <w:p>
            <w:pPr>
              <w:spacing w:after="20"/>
            </w:pPr>
            <w:r>
              <w:rPr>
                <w:rFonts w:ascii="Arial" w:cs="Arial" w:eastAsia="Arial" w:hAnsi="Arial"/>
                <w:b/>
                <w:bCs/>
                <w:color w:val="A64B7A"/>
                <w:sz w:val="19"/>
                <w:szCs w:val="19"/>
              </w:rPr>
              <w:t xml:space="preserve">Veiligheid</w:t>
            </w:r>
          </w:p>
        </w:tc>
        <w:tc>
          <w:tcPr>
            <w:tcW w:type="dxa" w:w="4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40" w:hRule="atLeast"/>
        </w:trPr>
        <w:tc>
          <w:tcPr>
            <w:tcW w:type="dxa" w:w="3000"/>
            <w:tcBorders>
              <w:top w:val="single" w:color="BFC5CC" w:sz="4"/>
              <w:left w:val="single" w:color="BFC5CC" w:sz="4"/>
              <w:bottom w:val="single" w:color="BFC5CC" w:sz="4"/>
              <w:right w:val="single" w:color="BFC5CC" w:sz="4"/>
            </w:tcBorders>
            <w:shd w:fill="F6E9F0" w:color="auto" w:val="clear"/>
            <w:tcMar>
              <w:top w:type="dxa" w:w="80"/>
              <w:left w:type="dxa" w:w="110"/>
              <w:bottom w:type="dxa" w:w="80"/>
              <w:right w:type="dxa" w:w="110"/>
            </w:tcMar>
          </w:tcPr>
          <w:p>
            <w:pPr>
              <w:spacing w:after="20"/>
            </w:pPr>
            <w:r>
              <w:rPr>
                <w:rFonts w:ascii="Arial" w:cs="Arial" w:eastAsia="Arial" w:hAnsi="Arial"/>
                <w:b/>
                <w:bCs/>
                <w:color w:val="A64B7A"/>
                <w:sz w:val="19"/>
                <w:szCs w:val="19"/>
              </w:rPr>
              <w:t xml:space="preserve">Vertrouwen</w:t>
            </w:r>
          </w:p>
        </w:tc>
        <w:tc>
          <w:tcPr>
            <w:tcW w:type="dxa" w:w="4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40" w:hRule="atLeast"/>
        </w:trPr>
        <w:tc>
          <w:tcPr>
            <w:tcW w:type="dxa" w:w="3000"/>
            <w:tcBorders>
              <w:top w:val="single" w:color="BFC5CC" w:sz="4"/>
              <w:left w:val="single" w:color="BFC5CC" w:sz="4"/>
              <w:bottom w:val="single" w:color="BFC5CC" w:sz="4"/>
              <w:right w:val="single" w:color="BFC5CC" w:sz="4"/>
            </w:tcBorders>
            <w:shd w:fill="F6E9F0" w:color="auto" w:val="clear"/>
            <w:tcMar>
              <w:top w:type="dxa" w:w="80"/>
              <w:left w:type="dxa" w:w="110"/>
              <w:bottom w:type="dxa" w:w="80"/>
              <w:right w:type="dxa" w:w="110"/>
            </w:tcMar>
          </w:tcPr>
          <w:p>
            <w:pPr>
              <w:spacing w:after="20"/>
            </w:pPr>
            <w:r>
              <w:rPr>
                <w:rFonts w:ascii="Arial" w:cs="Arial" w:eastAsia="Arial" w:hAnsi="Arial"/>
                <w:b/>
                <w:bCs/>
                <w:color w:val="A64B7A"/>
                <w:sz w:val="19"/>
                <w:szCs w:val="19"/>
              </w:rPr>
              <w:t xml:space="preserve">Optie: alleen totalen bewaren</w:t>
            </w:r>
          </w:p>
        </w:tc>
        <w:tc>
          <w:tcPr>
            <w:tcW w:type="dxa" w:w="4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40" w:hRule="atLeast"/>
        </w:trPr>
        <w:tc>
          <w:tcPr>
            <w:tcW w:type="dxa" w:w="3000"/>
            <w:tcBorders>
              <w:top w:val="single" w:color="BFC5CC" w:sz="4"/>
              <w:left w:val="single" w:color="BFC5CC" w:sz="4"/>
              <w:bottom w:val="single" w:color="BFC5CC" w:sz="4"/>
              <w:right w:val="single" w:color="BFC5CC" w:sz="4"/>
            </w:tcBorders>
            <w:shd w:fill="F6E9F0" w:color="auto" w:val="clear"/>
            <w:tcMar>
              <w:top w:type="dxa" w:w="80"/>
              <w:left w:type="dxa" w:w="110"/>
              <w:bottom w:type="dxa" w:w="80"/>
              <w:right w:type="dxa" w:w="110"/>
            </w:tcMar>
          </w:tcPr>
          <w:p>
            <w:pPr>
              <w:spacing w:after="20"/>
            </w:pPr>
            <w:r>
              <w:rPr>
                <w:rFonts w:ascii="Arial" w:cs="Arial" w:eastAsia="Arial" w:hAnsi="Arial"/>
                <w:b/>
                <w:bCs/>
                <w:color w:val="A64B7A"/>
                <w:sz w:val="19"/>
                <w:szCs w:val="19"/>
              </w:rPr>
              <w:t xml:space="preserve">Optie: eigen keuze voor medewerkers</w:t>
            </w:r>
          </w:p>
        </w:tc>
        <w:tc>
          <w:tcPr>
            <w:tcW w:type="dxa" w:w="4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Welke optie zou jij kiezen en waarom? Onderbouw met minstens twee perspectieven en benoem wat je opgeeft.</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Bewerking van: Gebaseerd op Embedded EthiCS @ Harvard – Harvard University – CC BY 4.0 – https://embeddedethics.seas.harvard.edu/. Wijzigingen: vertaald, ingekort en voorzien van een eigen casus door Moreel Vakmanschap.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225bbe080dd201429096ff80076c9ac54cb8d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MW35 De slimme badge (HBO HRM, NL)</dc:title>
  <dc:creator>Moreel Vakmanschap</dc:creator>
  <cp:lastModifiedBy>Un-named</cp:lastModifiedBy>
  <cp:revision>1</cp:revision>
  <dcterms:created xsi:type="dcterms:W3CDTF">2026-09-30T10:57:58.905Z</dcterms:created>
  <dcterms:modified xsi:type="dcterms:W3CDTF">2026-09-30T10:57:58.905Z</dcterms:modified>
</cp:coreProperties>
</file>

<file path=docProps/custom.xml><?xml version="1.0" encoding="utf-8"?>
<Properties xmlns="http://schemas.openxmlformats.org/officeDocument/2006/custom-properties" xmlns:vt="http://schemas.openxmlformats.org/officeDocument/2006/docPropsVTypes"/>
</file>