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5A65B" w:sz="24"/>
              <w:right w:val="none" w:color="FFFFFF" w:sz="0"/>
            </w:tcBorders>
            <w:shd w:fill="2A7F6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MW37 — STORY AS PROMPT · HRM</w:t>
            </w:r>
          </w:p>
          <w:p>
            <w:pPr>
              <w:spacing w:after="40" w:line="250"/>
            </w:pPr>
            <w:r>
              <w:rPr>
                <w:rFonts w:ascii="Arial" w:cs="Arial" w:eastAsia="Arial" w:hAnsi="Arial"/>
                <w:b/>
                <w:bCs/>
                <w:color w:val="FFFFFF"/>
                <w:sz w:val="34"/>
                <w:szCs w:val="34"/>
              </w:rPr>
              <w:t xml:space="preserve">The friend on the shortlist</w:t>
            </w:r>
          </w:p>
          <w:p>
            <w:pPr>
              <w:spacing w:after="0"/>
            </w:pPr>
            <w:r>
              <w:rPr>
                <w:rFonts w:ascii="Arial" w:cs="Arial" w:eastAsia="Arial" w:hAnsi="Arial"/>
                <w:color w:val="DDE6F0"/>
                <w:sz w:val="19"/>
                <w:szCs w:val="19"/>
              </w:rPr>
              <w:t xml:space="preserve">Case: a recruiter and an old friend</w:t>
            </w:r>
          </w:p>
        </w:tc>
        <w:tc>
          <w:tcPr>
            <w:tcW w:type="dxa" w:w="2606"/>
            <w:tcBorders>
              <w:top w:val="none" w:color="FFFFFF" w:sz="0"/>
              <w:left w:val="none" w:color="FFFFFF" w:sz="0"/>
              <w:bottom w:val="single" w:color="F5A65B"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50 min     Group: 2–3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5A65B" w:sz="6"/>
              <w:left w:val="single" w:color="F5A65B" w:sz="6"/>
              <w:bottom w:val="single" w:color="F5A65B" w:sz="6"/>
              <w:right w:val="single" w:color="F5A65B"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4F3EC"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Part 1 — The list. Tim (28) works as a recruiter. He has a shortlist of four candidates for a team leader position. On the list is Milan, his best friend since secondary school. Milan is good, but not the strongest on paper.</w:t>
            </w:r>
          </w:p>
          <w:p>
            <w:pPr>
              <w:spacing w:after="100" w:line="288"/>
            </w:pPr>
            <w:r>
              <w:rPr>
                <w:rFonts w:ascii="Arial" w:cs="Arial" w:eastAsia="Arial" w:hAnsi="Arial"/>
                <w:sz w:val="21"/>
                <w:szCs w:val="21"/>
              </w:rPr>
              <w:t xml:space="preserve">Part 2 — The message. Milan texts: “I know you’re not allowed to say, but I really need this job. I’ve just bought a house.” Tim knows he could help his friend by going easy on his interview or raising his score slightly.</w:t>
            </w:r>
          </w:p>
          <w:p>
            <w:pPr>
              <w:spacing w:after="40" w:line="288"/>
            </w:pPr>
            <w:r>
              <w:rPr>
                <w:rFonts w:ascii="Arial" w:cs="Arial" w:eastAsia="Arial" w:hAnsi="Arial"/>
                <w:sz w:val="21"/>
                <w:szCs w:val="21"/>
              </w:rPr>
              <w:t xml:space="preserve">Part 3 — The question. Nobody knows they are friends. Tim can report it, stay silent or help Milan. He thinks of the other three candidates. One of them is Amina, who has already been rejected twice.</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part 1. Stop. Write down what you would do and what you feel.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Read part 2. Stop. See whether your answer changes, and why.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Read part 3. Note down Tim’s options and what each option costs and delivers.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Compare with your group. What convinces you in someone else’s view?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Fill in your reflection.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THE STORY STOPS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606"/>
      </w:tblGrid>
      <w:tr>
        <w:trPr>
          <w:tblHeader/>
        </w:trPr>
        <w:tc>
          <w:tcPr>
            <w:tcW w:type="dxa" w:w="2600"/>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Stop</w:t>
            </w:r>
          </w:p>
        </w:tc>
        <w:tc>
          <w:tcPr>
            <w:tcW w:type="dxa" w:w="3700"/>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would I do?</w:t>
            </w:r>
          </w:p>
        </w:tc>
        <w:tc>
          <w:tcPr>
            <w:tcW w:type="dxa" w:w="3606"/>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do I feel or think?</w:t>
            </w:r>
          </w:p>
        </w:tc>
      </w:tr>
      <w:tr>
        <w:trPr>
          <w:trHeight w:val="660" w:hRule="atLeast"/>
        </w:trPr>
        <w:tc>
          <w:tcPr>
            <w:tcW w:type="dxa" w:w="26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After part 1</w:t>
            </w:r>
          </w:p>
          <w:p>
            <w:pPr>
              <w:spacing w:after="0" w:line="220"/>
            </w:pPr>
            <w:r>
              <w:rPr>
                <w:rFonts w:ascii="Arial" w:cs="Arial" w:eastAsia="Arial" w:hAnsi="Arial"/>
                <w:i/>
                <w:iCs/>
                <w:color w:val="5F5E5A"/>
                <w:sz w:val="15"/>
                <w:szCs w:val="15"/>
              </w:rPr>
              <w:t xml:space="preserve">The list</w:t>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60" w:hRule="atLeast"/>
        </w:trPr>
        <w:tc>
          <w:tcPr>
            <w:tcW w:type="dxa" w:w="26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After part 2</w:t>
            </w:r>
          </w:p>
          <w:p>
            <w:pPr>
              <w:spacing w:after="0" w:line="220"/>
            </w:pPr>
            <w:r>
              <w:rPr>
                <w:rFonts w:ascii="Arial" w:cs="Arial" w:eastAsia="Arial" w:hAnsi="Arial"/>
                <w:i/>
                <w:iCs/>
                <w:color w:val="5F5E5A"/>
                <w:sz w:val="15"/>
                <w:szCs w:val="15"/>
              </w:rPr>
              <w:t xml:space="preserve">The message</w:t>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60" w:hRule="atLeast"/>
        </w:trPr>
        <w:tc>
          <w:tcPr>
            <w:tcW w:type="dxa" w:w="26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After part 3</w:t>
            </w:r>
          </w:p>
          <w:p>
            <w:pPr>
              <w:spacing w:after="0" w:line="220"/>
            </w:pPr>
            <w:r>
              <w:rPr>
                <w:rFonts w:ascii="Arial" w:cs="Arial" w:eastAsia="Arial" w:hAnsi="Arial"/>
                <w:i/>
                <w:iCs/>
                <w:color w:val="5F5E5A"/>
                <w:sz w:val="15"/>
                <w:szCs w:val="15"/>
              </w:rPr>
              <w:t xml:space="preserve">The question</w:t>
            </w:r>
          </w:p>
        </w:tc>
        <w:tc>
          <w:tcPr>
            <w:tcW w:type="dxa" w:w="3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TIM’S OPTIONS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506"/>
      </w:tblGrid>
      <w:tr>
        <w:trPr>
          <w:tblHeader/>
        </w:trPr>
        <w:tc>
          <w:tcPr>
            <w:tcW w:type="dxa" w:w="3000"/>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Option</w:t>
            </w:r>
          </w:p>
        </w:tc>
        <w:tc>
          <w:tcPr>
            <w:tcW w:type="dxa" w:w="3400"/>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does it deliver?</w:t>
            </w:r>
          </w:p>
        </w:tc>
        <w:tc>
          <w:tcPr>
            <w:tcW w:type="dxa" w:w="3506"/>
            <w:tcBorders>
              <w:top w:val="single" w:color="BFC5CC" w:sz="4"/>
              <w:left w:val="single" w:color="BFC5CC" w:sz="4"/>
              <w:bottom w:val="single" w:color="BFC5CC" w:sz="4"/>
              <w:right w:val="single" w:color="BFC5CC" w:sz="4"/>
            </w:tcBorders>
            <w:shd w:fill="2A7F6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does it cost, and for whom?</w:t>
            </w:r>
          </w:p>
        </w:tc>
      </w:tr>
      <w:tr>
        <w:trPr>
          <w:trHeight w:val="620" w:hRule="atLeast"/>
        </w:trPr>
        <w:tc>
          <w:tcPr>
            <w:tcW w:type="dxa" w:w="30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A. Report it and withdraw</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0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B. Stay silent and assess fairly</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000"/>
            <w:tcBorders>
              <w:top w:val="single" w:color="BFC5CC" w:sz="4"/>
              <w:left w:val="single" w:color="BFC5CC" w:sz="4"/>
              <w:bottom w:val="single" w:color="BFC5CC" w:sz="4"/>
              <w:right w:val="single" w:color="BFC5CC" w:sz="4"/>
            </w:tcBorders>
            <w:shd w:fill="E4F3EC" w:color="auto" w:val="clear"/>
            <w:tcMar>
              <w:top w:type="dxa" w:w="80"/>
              <w:left w:type="dxa" w:w="110"/>
              <w:bottom w:type="dxa" w:w="80"/>
              <w:right w:type="dxa" w:w="110"/>
            </w:tcMar>
          </w:tcPr>
          <w:p>
            <w:pPr>
              <w:spacing w:after="20"/>
            </w:pPr>
            <w:r>
              <w:rPr>
                <w:rFonts w:ascii="Arial" w:cs="Arial" w:eastAsia="Arial" w:hAnsi="Arial"/>
                <w:b/>
                <w:bCs/>
                <w:color w:val="2A7F62"/>
                <w:sz w:val="19"/>
                <w:szCs w:val="19"/>
              </w:rPr>
              <w:t xml:space="preserve">C. Help Milan</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MY CHOICE</w:t>
      </w:r>
    </w:p>
    <w:p>
      <w:pPr>
        <w:spacing w:after="0"/>
      </w:pPr>
      <w:r>
        <w:rPr>
          <w:rFonts w:ascii="Arial" w:cs="Arial" w:eastAsia="Arial" w:hAnsi="Arial"/>
          <w:b/>
          <w:bCs/>
          <w:sz w:val="20"/>
          <w:szCs w:val="20"/>
        </w:rPr>
        <w:t xml:space="preserve">If I were Tim, I would… because…</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What changed your answer during the story, and which value kept you on course? Support your answer with at least two perspectives.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narrative dilemma as case prompt; inspired by the approach of Ethical Explorations – Brendan Shea – CC BY-NC 4.0 – https://mlpp.pressbooks.pub/ethicalexplorations/ (no text has been copied).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1af96f53c98e185960bbeeb59c58f50b232ae5.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MW37 The friend on the shortlist (Higher education HRM, EN, student version)</dc:title>
  <dc:creator>Moreel Vakmanschap</dc:creator>
  <cp:lastModifiedBy>Moral Craftsmanship</cp:lastModifiedBy>
  <cp:revision>1</cp:revision>
  <dcterms:created xsi:type="dcterms:W3CDTF">2026-09-30T11:08:06.566Z</dcterms:created>
  <dcterms:modified xsi:type="dcterms:W3CDTF">2026-09-30T11:08:06.566Z</dcterms:modified>
  <dc:language>en-GB</dc:language>
</cp:coreProperties>
</file>

<file path=docProps/custom.xml><?xml version="1.0" encoding="utf-8"?>
<Properties xmlns="http://schemas.openxmlformats.org/officeDocument/2006/custom-properties" xmlns:vt="http://schemas.openxmlformats.org/officeDocument/2006/docPropsVTypes"/>
</file>