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1F3A5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Zero tolerance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8A1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analyse a dilemma in terms of values, duties and consequences for each option.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weigh the options from at least two ethical perspectives and take the strongest counterargument seriously.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reasoned decision using because – even though – therefore and translate it into concrete action. (Acting)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organisational policy against the duty of care, the safety of colleagues and the wishes of the director.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organisation’s policy and how it is applied.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director, team leader, Esra and the earlier dismissal of an agency worker play a significant role; Mirjam is bound by her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employment law and the duty of care are background, not the core of the dilemma (decision rule 3). In doubt? Choose the lowest level that covers the core tension.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4–5. Allow 60 minutes; 75–90 with a plenary debrief.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guard the order: first analyse, then weigh, then decide. For every decision, ask about the “even though”: which counterargument did you weigh?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Safety: </w:t>
      </w:r>
      <w:r>
        <w:rPr>
          <w:rFonts w:ascii="Arial" w:cs="Arial" w:eastAsia="Arial" w:hAnsi="Arial"/>
          <w:sz w:val="19"/>
          <w:szCs w:val="19"/>
        </w:rPr>
        <w:t xml:space="preserve">addiction may come close to home. Agree beforehand that nobody has to share personal experiences, and talk about the people in the case.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jump straight to a “third way”. First have them work out the choice between A and B; option B is already a middle way with conditions.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Esra disappears from view. Ask: “What does your decision mean for her safety and trust?”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decision stops at “because”. Only the “even though” and the “therefore” make it a reasoned decision.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3"/>
        <w:gridCol w:w="4203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A: apply the policy (Jeroen is dismissed)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 B: exception with conditions (last-chance agreement, treatment, temporarily other work)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Values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Safety, equal treatment, reliability of agreements.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Care, humanity, a second chance, loyalty after twelve years.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Duties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signed policy; duty to protect colleagues; consistency with the earlier dismissal.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employer’s duty of care; rules exist for people; professional integrity of HR.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0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F3A5F"/>
                <w:sz w:val="17"/>
                <w:szCs w:val="17"/>
              </w:rPr>
              <w:t xml:space="preserve">Consequences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Esra feels taken seriously; Jeroen loses work and income in the middle of his crisis; the policy stays credible.</w:t>
            </w:r>
          </w:p>
        </w:tc>
        <w:tc>
          <w:tcPr>
            <w:tcW w:type="dxa" w:w="4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Chance of recovery; risk of relapse; inequality towards the agency worker; precedent; Esra’s trust may decline.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combine steps 5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Other methods: </w:t>
      </w:r>
      <w:r>
        <w:rPr>
          <w:rFonts w:ascii="Arial" w:cs="Arial" w:eastAsia="Arial" w:hAnsi="Arial"/>
          <w:sz w:val="19"/>
          <w:szCs w:val="19"/>
        </w:rPr>
        <w:t xml:space="preserve">the same case works for the ethical cycle (MW08), the ethical lenses (MW11, MW36), an academic controversy (MW21), giving voice to values (MW16) and a pre-mortem on option B (MW18).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Level variants: </w:t>
      </w:r>
      <w:r>
        <w:rPr>
          <w:rFonts w:ascii="Arial" w:cs="Arial" w:eastAsia="Arial" w:hAnsi="Arial"/>
          <w:sz w:val="19"/>
          <w:szCs w:val="19"/>
        </w:rPr>
        <w:t xml:space="preserve">Micro: Esra decides whether to report the incident herself. Macro: should the law oblige employers to offer a care route in cases of addiction?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Stolper, M., Molewijk, B., &amp; Widdershoven, G. (2016). Bioethics education in clinical settings: Theory and practice of the dilemma method of moral case deliberation. BMC Medical Ethics, 17, Article 45. https://doi.org/10.1186/s12910-016-0125-1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dilemma method of moral case deliberation (Stolper, Molewijk &amp; Widdershoven, 2016; BMC Medical Ethics, CC BY 4.0).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MW38 Zero tolerance (Higher education HRM, EN, teacher version)</dc:title>
  <dc:creator>Moreel Vakmanschap</dc:creator>
  <cp:lastModifiedBy>Moral Craftsmanship</cp:lastModifiedBy>
  <cp:revision>1</cp:revision>
  <dcterms:created xsi:type="dcterms:W3CDTF">2026-09-29T09:46:30.761Z</dcterms:created>
  <dcterms:modified xsi:type="dcterms:W3CDTF">2026-09-29T09:46:30.761Z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