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Micro — persoonlijke keuze</w:t>
      </w:r>
    </w:p>
    <w:p>
      <w:r>
        <w:rPr>
          <w:b/>
          <w:sz w:val="32"/>
        </w:rPr>
        <w:t>De leugen voor de ouders</w:t>
      </w:r>
    </w:p>
    <w:p>
      <w:pPr>
        <w:spacing w:after="240"/>
      </w:pPr>
      <w:r>
        <w:t>Sanne stapt net onder de douche als haar telefoon drie keer trilt. Haar beste vriendin Iris appt: "Als mijn ouders bellen, ik was gister bij jou oké? Zeg maar dat we een film keken." Sanne weet niet waar Iris werkelijk was, alleen dat ze om twee uur 's nachts thuiskwam en er de hele ochtend stil over deed. Iris' ouders zijn streng; een leugen kan rust brengen, maar ook iets verbergen wat groter is dan een avondje uit. Over tien minuten belt Iris' moeder waarschijnlijk om te vragen of Sanne gezellig gefietst heeft naar huis. Sanne typt een antwoord, wist het weer, typt opnieuw. Vertelt ze de leugen voor haar vriendin, vraagt ze eerst door wat er precies gebeurd is, of laat ze Iris het zelf oplossen?</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