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WORK</w:t>
      </w:r>
    </w:p>
    <w:p>
      <w:r>
        <w:rPr>
          <w:b/>
          <w:color w:val="993556"/>
        </w:rPr>
        <w:t>★★☆ Meso — organisational dilemma</w:t>
      </w:r>
    </w:p>
    <w:p>
      <w:r>
        <w:rPr>
          <w:b/>
          <w:sz w:val="32"/>
        </w:rPr>
        <w:t>The manager's request</w:t>
      </w:r>
    </w:p>
    <w:p>
      <w:pPr>
        <w:spacing w:after="240"/>
      </w:pPr>
      <w:r>
        <w:t>Team leader Iris asks Bram to present the project results in the client meeting "a bit more positively than they actually are" — not lying, just "shifting the emphasis." What she asks is not illegal and happens everywhere in the sector, she says. Bram collected the figures himself and knows the client is considering a follow-up contract based on exactly this outcome. Iris will hold his performance review next month and decide whether his temporary contract is made permanent. She is not waiting for a long answer; the presentation must be ready tomorrow morning. Bram opens the file and stares at the chart he made honestly. Does he do what Iris asks, or say that this goes against his own values?</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