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WERK</w:t>
      </w:r>
    </w:p>
    <w:p>
      <w:r>
        <w:rPr>
          <w:b/>
          <w:color w:val="993556"/>
        </w:rPr>
        <w:t>★★☆ Meso — organisatorisch dilemma</w:t>
      </w:r>
    </w:p>
    <w:p>
      <w:r>
        <w:rPr>
          <w:b/>
          <w:sz w:val="32"/>
        </w:rPr>
        <w:t>De vraag van de leidinggevende</w:t>
      </w:r>
    </w:p>
    <w:p>
      <w:pPr>
        <w:spacing w:after="240"/>
      </w:pPr>
      <w:r>
        <w:t>Teamleider Iris vraagt Bram om in een klantpresentatie de resultaten van het project "iets positiever te brengen dan ze eigenlijk zijn" — niets liegen, gewoon "de nadruk anders leggen." Wat ze vraagt is niet illegaal en gebeurt overal in de sector, zegt ze. Bram heeft de cijfers zelf verzameld en weet dat de klant een vervolgopdracht overweegt op basis van precies dit resultaat. Iris voert volgende maand zijn functioneringsgesprek en bepaalt of zijn tijdelijke contract wordt omgezet. Ze wacht niet op een lang antwoord; de presentatie moet morgenochtend klaar zijn. Bram opent het bestand en staart naar de grafiek die hij eerlijk heeft gemaakt. Doet hij wat Iris vraagt, of spreekt hij uit dat dit tegen zijn eigen waarden ingaat?</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