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DAGELIJKS LEVEN</w:t>
      </w:r>
    </w:p>
    <w:p>
      <w:r>
        <w:rPr>
          <w:b/>
          <w:color w:val="993556"/>
        </w:rPr>
        <w:t>★☆☆ Micro — persoonlijke keuze</w:t>
      </w:r>
    </w:p>
    <w:p>
      <w:r>
        <w:rPr>
          <w:b/>
          <w:sz w:val="32"/>
        </w:rPr>
        <w:t>De dakloze op straat</w:t>
      </w:r>
    </w:p>
    <w:p>
      <w:pPr>
        <w:spacing w:after="240"/>
      </w:pPr>
      <w:r>
        <w:t>Voor de supermarkt zit een man met een kartonnen bord: "Elke euro helpt, dankjewel." Julia heeft net haar hele weekbudget uitgerekend voor de boodschappen die ze moet doen — precies genoeg, geen euro over. Ze kent het verhaal niet van de man: hoelang hij hier al zit, wat hij met het geld doet, of hij hulp zoekt. Vorige week las ze een artikel dat waarschuwde voor het geven van geld in plaats van eten. Ze heeft geen restje brood bij zich, geen extra pas voor een warme maaltijd, alleen haar portemonnee met precies genoeg voor haar eigen lijst. De rij bij de kassa wordt zichtbaar vanaf hier. Ze kan doorlopen, ze kan iets geven en zelf een product schrappen, of ze kan naar binnen gaan en iets voor hem kopen. Wat doet Julia, en waarom?</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