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5,3 op het scherm</w:t>
      </w:r>
    </w:p>
    <w:p>
      <w:pPr>
        <w:spacing w:after="240"/>
      </w:pPr>
      <w:r>
        <w:rPr>
          <w:color w:val="4A5568"/>
          <w:sz w:val="22"/>
        </w:rPr>
        <w:t>Meneer De Groot staart dinsdagmiddag naar het beoordelingssysteem: 5,3, onvoldoende. Het is de derde poging van student Youssef voor dit vak. In de kantlijn van zijn aantekeningen ziet De Groot de vooruitgang die het systeem niet meeneemt — Youssef is dit semester geen les gemist, heeft actief meegedaan, zijn presentatie was merkbaar beter dan vorige keer. Toch telt de rubric strikt de deelscores bij elkaar op, en een half punt eronder betekent officieel een onvoldoende en weer een half jaar vertraging. De Groot kan het cijfer handmatig aanpassen — de software staat dat toe — maar daarmee wijkt hij af van het systeem dat juist bedoeld is om willekeur te voorkomen. Zijn vinger zweeft boven de "opslaan"-knop. Overschrijft hij het cijfer, of laat hij het systeem beslissen?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