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RESEARCH INTEGRITY</w:t>
      </w:r>
    </w:p>
    <w:p>
      <w:r>
        <w:rPr>
          <w:b/>
          <w:color w:val="993556"/>
        </w:rPr>
        <w:t>★★☆ Meso — organisational dilemma</w:t>
      </w:r>
    </w:p>
    <w:p>
      <w:r>
        <w:rPr>
          <w:b/>
          <w:sz w:val="32"/>
        </w:rPr>
        <w:t>The Same Result, Twice</w:t>
      </w:r>
    </w:p>
    <w:p>
      <w:pPr>
        <w:spacing w:after="240"/>
      </w:pPr>
      <w:r>
        <w:t>Dr. Willemsen's dataset from three years ago is solid — peer-reviewed, published, done. But the funding cycle never really closes. She adjusts a variable, reframes the research question slightly, submits it as a new proposal. The committee, unaware it overlaps almost entirely with her last funded project, approves it. She presents the "new" findings at a conference in Lisbon, then again, reworded, in Porto. Nobody who reviews her application sees the earlier version; nobody who applauds at the podium knows either. Each grant funds real work — travel, a research assistant, a few months of breathing room. Nothing about the numbers is invented. Only the frame keeps shifting, just enough to look new. She's already drafting the next resubmission when the funding body's newsletter mentions a tightening of duplicate-submission checks. What happens if someone finally lines the versions up?</w:t>
      </w:r>
    </w:p>
    <w:p>
      <w:r>
        <w:rPr>
          <w:b/>
        </w:rPr>
        <w:t>What would you do, and why?</w:t>
      </w:r>
    </w:p>
    <w:p>
      <w:r>
        <w:rPr>
          <w:b/>
        </w:rPr>
        <w:t>Which values are at play?</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