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F8354" w:sz="24"/>
              <w:right w:val="none" w:color="FFFFFF" w:sz="0"/>
            </w:tcBorders>
            <w:shd w:fill="4F5D75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MW09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Back to the shop floor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F8354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organise a case into facts, wishes, quality of life and context.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where the four boxes clash. (Seeing, 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formulate a well-founded advice. (Weighing)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the HR adviser weighs her own judgement against the medical advice, the employee’s wish and the pressure from the team and the organisation.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way the company arranges return to work and the division of tasks. That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Micro: </w:t>
      </w:r>
      <w:r>
        <w:rPr>
          <w:rFonts w:ascii="Arial" w:cs="Arial" w:eastAsia="Arial" w:hAnsi="Arial"/>
          <w:sz w:val="19"/>
          <w:szCs w:val="19"/>
        </w:rPr>
        <w:t xml:space="preserve">team leader, team, occupational physician and organisational rules play a significant role (decision rule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Macro: </w:t>
      </w:r>
      <w:r>
        <w:rPr>
          <w:rFonts w:ascii="Arial" w:cs="Arial" w:eastAsia="Arial" w:hAnsi="Arial"/>
          <w:sz w:val="19"/>
          <w:szCs w:val="19"/>
        </w:rPr>
        <w:t xml:space="preserve">legislation on return to work is in the background, but is not the core (decision rule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Individually or in groups of 3–6. Allow 50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pay attention to the translation of the healthcare method to HRM. Ask students what “quality of life” means here.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Source: </w:t>
      </w:r>
      <w:r>
        <w:rPr>
          <w:rFonts w:ascii="Arial" w:cs="Arial" w:eastAsia="Arial" w:hAnsi="Arial"/>
          <w:sz w:val="19"/>
          <w:szCs w:val="19"/>
        </w:rPr>
        <w:t xml:space="preserve">the four boxes have been adapted to HRM in our own words (Jonsen et al., 2022).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fill in box 4 (context) more extensively than the rest. Give each box equal space.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immediately opt for the medical advice without weighing Kevin’s wish.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make a medical judgement. Stress that the adviser is not a doctor.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SUGGESTIONS FOR THE DEBRIEF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4F5D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Box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4F5D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Possible answers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B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F5D75"/>
                <w:sz w:val="17"/>
                <w:szCs w:val="17"/>
              </w:rPr>
              <w:t xml:space="preserve">1. Facts and judgement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Ten weeks at home; medical advice: 50 per cent and no lifting for twelve weeks.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B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F5D75"/>
                <w:sz w:val="17"/>
                <w:szCs w:val="17"/>
              </w:rPr>
              <w:t xml:space="preserve">2. Wishes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Kevin wants a full working week and to keep his place.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B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F5D75"/>
                <w:sz w:val="17"/>
                <w:szCs w:val="17"/>
              </w:rPr>
              <w:t xml:space="preserve">3. Quality of work and life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Long-term recovery; safety and self-esteem.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B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F5D75"/>
                <w:sz w:val="17"/>
                <w:szCs w:val="17"/>
              </w:rPr>
              <w:t xml:space="preserve">4. Context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Team overloaded; few light tasks; risk of a precedent for others.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(35 min): </w:t>
      </w:r>
      <w:r>
        <w:rPr>
          <w:rFonts w:ascii="Arial" w:cs="Arial" w:eastAsia="Arial" w:hAnsi="Arial"/>
          <w:sz w:val="19"/>
          <w:szCs w:val="19"/>
        </w:rPr>
        <w:t xml:space="preserve">skip step 5.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a shared worksheet with the four boxes.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let each group work out one box and present the four boxes together.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Jonsen, A. R., Siegler, M., &amp; Winslade, W. J. (2022). Clinical ethics: A practical approach to ethical decisions in clinical medicine (9th ed.). McGraw Hill.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the four-quadrant method (Jonsen, Siegler &amp; Winslade, 2022; adapted to HRM).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MW09 Back to the shop floor (Higher education HRM, EN, teacher version)</dc:title>
  <dc:creator>Moreel Vakmanschap</dc:creator>
  <cp:lastModifiedBy>Moral Craftsmanship</cp:lastModifiedBy>
  <cp:revision>1</cp:revision>
  <dcterms:created xsi:type="dcterms:W3CDTF">2026-09-29T10:22:51.730Z</dcterms:created>
  <dcterms:modified xsi:type="dcterms:W3CDTF">2026-09-29T10:22:51.730Z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