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D9A441" w:sz="24"/>
              <w:right w:val="none" w:color="FFFFFF" w:sz="0"/>
            </w:tcBorders>
            <w:shd w:fill="4B5320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MW27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What I say and what I do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D9A441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MICRO ★☆☆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name and rank their own core values. (Feeling)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recognise a difference between stated values and their own behaviour. (Feeling)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formulate one concrete action that fits a chosen value. (Feeling)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MICRO?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Micro: Amira looks at the tension between her own values and her own behaviour, and can decide for herself what she changes.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Amira’s own choices. That is Micro.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Meso: </w:t>
      </w:r>
      <w:r>
        <w:rPr>
          <w:rFonts w:ascii="Arial" w:cs="Arial" w:eastAsia="Arial" w:hAnsi="Arial"/>
          <w:sz w:val="19"/>
          <w:szCs w:val="19"/>
        </w:rPr>
        <w:t xml:space="preserve">workload plays a role, but the core of the story is the gap between saying and doing in one person (decision rules 1 and 4).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Note: </w:t>
      </w:r>
      <w:r>
        <w:rPr>
          <w:rFonts w:ascii="Arial" w:cs="Arial" w:eastAsia="Arial" w:hAnsi="Arial"/>
          <w:sz w:val="19"/>
          <w:szCs w:val="19"/>
        </w:rPr>
        <w:t xml:space="preserve">the student works with their own values. The level of the case says nothing about the level of what the student shares.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student version printed double-sided, pens, timer. Individual work, then pairs. Allow 40 minutes.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facilitator: </w:t>
      </w:r>
      <w:r>
        <w:rPr>
          <w:rFonts w:ascii="Arial" w:cs="Arial" w:eastAsia="Arial" w:hAnsi="Arial"/>
          <w:sz w:val="19"/>
          <w:szCs w:val="19"/>
        </w:rPr>
        <w:t xml:space="preserve">keep it light and safe. Say beforehand that a “no” at “did I act on it?” is not a failure, but information.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Agreements beforehand: </w:t>
      </w:r>
      <w:r>
        <w:rPr>
          <w:rFonts w:ascii="Arial" w:cs="Arial" w:eastAsia="Arial" w:hAnsi="Arial"/>
          <w:sz w:val="19"/>
          <w:szCs w:val="19"/>
        </w:rPr>
        <w:t xml:space="preserve">sharing in pairs is voluntary. The listener gives no advice and does not judge.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choose values that sound socially desirable. Ask: “Where do you see that in your diary?”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pair conversation turns into an advice session. Remind them of the listening rule.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feel judged. Stress that the form does not have to be handed in.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FOLLOW-UP QUESTIONS IN PAIRS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306"/>
      </w:tblGrid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4B532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Moment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4B532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Question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EF0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B5320"/>
                <w:sz w:val="17"/>
                <w:szCs w:val="17"/>
              </w:rPr>
              <w:t xml:space="preserve">On the value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What does this value mean to you, in one sentence?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EF0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B5320"/>
                <w:sz w:val="17"/>
                <w:szCs w:val="17"/>
              </w:rPr>
              <w:t xml:space="preserve">On the moment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What exactly happened, and what did you do then?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EF0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B5320"/>
                <w:sz w:val="17"/>
                <w:szCs w:val="17"/>
              </w:rPr>
              <w:t xml:space="preserve">On the gap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What stops you from doing what you consider important?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EF0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B5320"/>
                <w:sz w:val="17"/>
                <w:szCs w:val="17"/>
              </w:rPr>
              <w:t xml:space="preserve">On the action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What is the smallest step you can take this week?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Shorter (25 min): </w:t>
      </w:r>
      <w:r>
        <w:rPr>
          <w:rFonts w:ascii="Arial" w:cs="Arial" w:eastAsia="Arial" w:hAnsi="Arial"/>
          <w:sz w:val="19"/>
          <w:szCs w:val="19"/>
        </w:rPr>
        <w:t xml:space="preserve">choose a top 3 instead of a top 5.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use a shared document and pairs in breakout rooms.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Large group: </w:t>
      </w:r>
      <w:r>
        <w:rPr>
          <w:rFonts w:ascii="Arial" w:cs="Arial" w:eastAsia="Arial" w:hAnsi="Arial"/>
          <w:sz w:val="19"/>
          <w:szCs w:val="19"/>
        </w:rPr>
        <w:t xml:space="preserve">have students write their top 5 on cards and cluster them in plenary without names.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Raths, L. E., Harmin, M., &amp; Simon, S. B. (1966). Values and teaching: Working with values in the classroom. Charles E. Merrill.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Method based on: values clarification (Raths, Harmin &amp; Simon, 1966). Adaptation and case: Moral Craftsmanship, moralcraftsmanship.com.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MW27 What I say and what I do (Higher education HRM, EN, teacher version)</dc:title>
  <dc:creator>Moreel Vakmanschap</dc:creator>
  <cp:lastModifiedBy>Moral Craftsmanship</cp:lastModifiedBy>
  <cp:revision>1</cp:revision>
  <dcterms:created xsi:type="dcterms:W3CDTF">2026-09-29T09:58:37.031Z</dcterms:created>
  <dcterms:modified xsi:type="dcterms:W3CDTF">2026-09-29T09:58:37.031Z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