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3C969" w:sz="24"/>
              <w:right w:val="none" w:color="FFFFFF" w:sz="0"/>
            </w:tcBorders>
            <w:shd w:fill="0B6E4F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MW31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chatbot at the HR desk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3C969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map an AI application in HR in terms of stakeholders, errors and limits.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substantiate an advice from at least two ethical perspectives. (Weighing)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distinguish between tasks for an AI and tasks that remain with a human.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efficiency against care for employees, within the rules and culture of a municipal organisation.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organisation deploys and supervises the chatbot.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employees, HR, the chief executive and municipal rules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AI regulation (such as the EU AI Act) is in the background, but is not the core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3–6. Allow 75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let students decide for themselves where the line lies between what an AI may answer and what is referred on. Ask about the employee who gives up.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a simplified version of the AI Ethics Canvas; the worksheet is therefore also published under CC BY-SA.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judge “AI is good” or “AI is bad”. Ask about the situations in which it works and in which it doesn’t.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forget people who are not digitally skilled.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advice remains a compromise without a reason. Ask: “Which value do you choose and which do you sacrifice?”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LIMITS TO DISCUSS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B6E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6E4F"/>
                <w:sz w:val="17"/>
                <w:szCs w:val="17"/>
              </w:rPr>
              <w:t xml:space="preserve">Calling in sick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May a chatbot say anything about this? What if someone brings up their health?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6E4F"/>
                <w:sz w:val="17"/>
                <w:szCs w:val="17"/>
              </w:rPr>
              <w:t xml:space="preserve">Private matters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Should the chatbot refer people to a confidential adviser?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6E4F"/>
                <w:sz w:val="17"/>
                <w:szCs w:val="17"/>
              </w:rPr>
              <w:t xml:space="preserve">Language and accessibility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How does someone with limited language skills still reach a person?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4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6E4F"/>
                <w:sz w:val="17"/>
                <w:szCs w:val="17"/>
              </w:rPr>
              <w:t xml:space="preserve">Errors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Who is liable for an incorrect answer about leave?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(50 min): </w:t>
      </w:r>
      <w:r>
        <w:rPr>
          <w:rFonts w:ascii="Arial" w:cs="Arial" w:eastAsia="Arial" w:hAnsi="Arial"/>
          <w:sz w:val="19"/>
          <w:szCs w:val="19"/>
        </w:rPr>
        <w:t xml:space="preserve">work with boxes 1, 2, 4 and 6.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board with eight fields.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have each group work out two boxes and present them together.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Goetze, T. S. (2021). AI ethics canvas [Guidebook, CC BY-SA 4.0]. https://www.trystangoetze.ca/aicanvas.html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Based on AI Ethics Canvas – Trystan S. Goetze – CC BY-SA 4.0 – https://www.trystangoetze.ca/aicanvas.html (simplified).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MW31 The chatbot at the HR desk (Higher education HRM, EN, teacher version)</dc:title>
  <dc:creator>Moreel Vakmanschap</dc:creator>
  <cp:lastModifiedBy>Moral Craftsmanship</cp:lastModifiedBy>
  <cp:revision>1</cp:revision>
  <dcterms:created xsi:type="dcterms:W3CDTF">2026-09-30T08:50:14.234Z</dcterms:created>
  <dcterms:modified xsi:type="dcterms:W3CDTF">2026-09-30T08:50:14.234Z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