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3C969" w:sz="24"/>
              <w:right w:val="none" w:color="FFFFFF" w:sz="0"/>
            </w:tcBorders>
            <w:shd w:fill="0B6E4F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MW31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De chatbot bij het personeelsloket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3C969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AI-toepassing in HR in kaart brengen op betrokkenen, fouten en grenzen. (Zien)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advies onderbouwen vanuit minstens twee ethische perspectieven.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onderscheid maken tussen taken voor een AI en taken die bij een mens blijven. (Wegen)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de HR-adviseur weegt efficiëntie af tegen zorg voor medewerkers, binnen de regels en cultuur van een gemeentelijke organisatie.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manier waarop de organisatie de chatbot inzet en begeleidt. Dat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Micro: </w:t>
      </w:r>
      <w:r>
        <w:rPr>
          <w:rFonts w:ascii="Arial" w:cs="Arial" w:eastAsia="Arial" w:hAnsi="Arial"/>
          <w:sz w:val="19"/>
          <w:szCs w:val="19"/>
        </w:rPr>
        <w:t xml:space="preserve">medewerkers, HR, secretaris en gemeentelijke regels spelen een wezenlijke rol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Macro: </w:t>
      </w:r>
      <w:r>
        <w:rPr>
          <w:rFonts w:ascii="Arial" w:cs="Arial" w:eastAsia="Arial" w:hAnsi="Arial"/>
          <w:sz w:val="19"/>
          <w:szCs w:val="19"/>
        </w:rPr>
        <w:t xml:space="preserve">Europese regelgeving voor AI speelt op de achtergrond, maar is niet de kern (beslisregel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Groepjes van 3–6. Neem 75 minuten.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laat de studenten zelf de grens bepalen tussen wat een AI mag beantwoorden en wat doorverwezen wordt. Vraag naar de medewerker die afhaakt.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Bron: </w:t>
      </w:r>
      <w:r>
        <w:rPr>
          <w:rFonts w:ascii="Arial" w:cs="Arial" w:eastAsia="Arial" w:hAnsi="Arial"/>
          <w:sz w:val="19"/>
          <w:szCs w:val="19"/>
        </w:rPr>
        <w:t xml:space="preserve">vertaald en vereenvoudigd naar het AI Ethics Canvas; het werkblad is daarom ook onder CC BY-SA gepubliceerd.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oordelen “AI is goed” of “AI is slecht”. Vraag naar de situatie waarin het werkt en waarin niet.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vergeten mensen die niet digitaal vaardig zijn.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Het advies blijft een compromis zonder reden. Vraag: “Welke waarde kiezen jullie en welke offeren jullie op?”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GRENZEN OM OVER TE PRATEN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Onderwerp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Vraag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4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B6E4F"/>
                <w:sz w:val="17"/>
                <w:szCs w:val="17"/>
              </w:rPr>
              <w:t xml:space="preserve">Ziekmelding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Mag een chatbot hier iets over zeggen? Wat als iemand over gezondheid begint?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4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B6E4F"/>
                <w:sz w:val="17"/>
                <w:szCs w:val="17"/>
              </w:rPr>
              <w:t xml:space="preserve">Privézaken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Moet de chatbot doorverwijzen naar een vertrouwenspersoon?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4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B6E4F"/>
                <w:sz w:val="17"/>
                <w:szCs w:val="17"/>
              </w:rPr>
              <w:t xml:space="preserve">Taal en toegankelijkheid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Hoe komt iemand met beperkte taalbeheersing toch bij een mens uit?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4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B6E4F"/>
                <w:sz w:val="17"/>
                <w:szCs w:val="17"/>
              </w:rPr>
              <w:t xml:space="preserve">Fouten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Wie is aansprakelijk voor een onjuist antwoord over verlof?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(50 min): </w:t>
      </w:r>
      <w:r>
        <w:rPr>
          <w:rFonts w:ascii="Arial" w:cs="Arial" w:eastAsia="Arial" w:hAnsi="Arial"/>
          <w:sz w:val="19"/>
          <w:szCs w:val="19"/>
        </w:rPr>
        <w:t xml:space="preserve">werk met vak 1, 2, 4 en 6.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een gedeeld bord met acht vlakken.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elke groep twee vakken uitwerken en presenteer ze samen.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Goetze, T. S. (2021). AI ethics canvas [Guidebook, CC BY-SA 4.0]. https://www.trystangoetze.ca/aicanvas.html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werkdefinitie van het lectoraat, gebaseerd op het micro-meso-macrodenken van 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Gebaseerd op AI Ethics Canvas – Trystan S. Goetze – CC BY-SA 4.0 – https://www.trystangoetze.ca/aicanvas.html (vertaald en vereenvoudigd).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MW31 Docentenversie – De chatbot bij het personeelsloket</dc:title>
  <dc:creator>Moreel Vakmanschap</dc:creator>
  <cp:lastModifiedBy>Un-named</cp:lastModifiedBy>
  <cp:revision>1</cp:revision>
  <dcterms:created xsi:type="dcterms:W3CDTF">2026-09-30T08:50:14.234Z</dcterms:created>
  <dcterms:modified xsi:type="dcterms:W3CDTF">2026-09-30T08:50:14.234Z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