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6BD60" w:sz="24"/>
              <w:right w:val="none" w:color="FFFFFF" w:sz="0"/>
            </w:tcBorders>
            <w:shd w:fill="354F5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MW10 — ETHISCHE MATRIX · HRM</w:t>
            </w:r>
          </w:p>
          <w:p>
            <w:pPr>
              <w:spacing w:after="40" w:line="250"/>
            </w:pPr>
            <w:r>
              <w:rPr>
                <w:rFonts w:ascii="Arial" w:cs="Arial" w:eastAsia="Arial" w:hAnsi="Arial"/>
                <w:b/>
                <w:bCs/>
                <w:color w:val="FFFFFF"/>
                <w:sz w:val="34"/>
                <w:szCs w:val="34"/>
              </w:rPr>
              <w:t xml:space="preserve">Het recht om offline te zijn</w:t>
            </w:r>
          </w:p>
          <w:p>
            <w:pPr>
              <w:spacing w:after="0"/>
            </w:pPr>
            <w:r>
              <w:rPr>
                <w:rFonts w:ascii="Arial" w:cs="Arial" w:eastAsia="Arial" w:hAnsi="Arial"/>
                <w:color w:val="DDE6F0"/>
                <w:sz w:val="19"/>
                <w:szCs w:val="19"/>
              </w:rPr>
              <w:t xml:space="preserve">Casus: een werkgeversvereniging</w:t>
            </w:r>
          </w:p>
        </w:tc>
        <w:tc>
          <w:tcPr>
            <w:tcW w:type="dxa" w:w="2606"/>
            <w:tcBorders>
              <w:top w:val="none" w:color="FFFFFF" w:sz="0"/>
              <w:left w:val="none" w:color="FFFFFF" w:sz="0"/>
              <w:bottom w:val="single" w:color="F6BD6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60 min     Groep: 3–6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6BD60" w:sz="6"/>
              <w:left w:val="single" w:color="F6BD60" w:sz="6"/>
              <w:bottom w:val="single" w:color="F6BD60" w:sz="6"/>
              <w:right w:val="single" w:color="F6BD6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8EFEF"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De Tweede Kamer behandelt een wetsvoorstel: werkgevers mogen medewerkers na zes uur ’s avonds niet meer benaderen, behalve bij een noodgeval. De vakbond noemt het hard nodig. Grote werkgevers zijn verdeeld. Kleine bedrijven vrezen dat ze klanten kwijtraken. Voor zorgpersoneel en mensen in ploegendiensten zou de regel weinig veranderen.</w:t>
            </w:r>
          </w:p>
          <w:p>
            <w:pPr>
              <w:spacing w:after="100" w:line="288"/>
            </w:pPr>
            <w:r>
              <w:rPr>
                <w:rFonts w:ascii="Arial" w:cs="Arial" w:eastAsia="Arial" w:hAnsi="Arial"/>
                <w:sz w:val="21"/>
                <w:szCs w:val="21"/>
              </w:rPr>
              <w:t xml:space="preserve">Sara Bakker is HR-adviseur bij een regionale werkgeversvereniging met driehonderd leden. De directeur vraagt haar binnen twee weken een standpunt voor te bereiden. Ze weet dat de wet niet alleen haar leden raakt, maar ook werknemers, klanten en zelfstandigen die voor hen werken. Ze weet ook dat haar eigen mening niet doorslaggevend is: dit gaat om beleid voor de hele arbeidsmarkt.</w:t>
            </w:r>
          </w:p>
          <w:p>
            <w:pPr>
              <w:spacing w:after="40" w:line="288"/>
            </w:pPr>
            <w:r>
              <w:rPr>
                <w:rFonts w:ascii="Arial" w:cs="Arial" w:eastAsia="Arial" w:hAnsi="Arial"/>
                <w:sz w:val="21"/>
                <w:szCs w:val="21"/>
              </w:rPr>
              <w:t xml:space="preserve">Sara besluit een tabel te maken van wie waar wat wint of verliest, voordat ze een standpunt kiest.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Bepaal welke partijen de wet raakt.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de matrix in: wat betekent de wet voor elke partij, per principe? Gebruik +, 0 of − en één trefwoord.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Kies de cellen die het zwaarst wegen. Leg uit waarom.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Formuleer het standpunt van de werkgeversvereniging in twee zinnen.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Vergelijk met een andere groep. Wat woog bij hen zwaarder?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DE MATRIX</w:t>
      </w:r>
    </w:p>
    <w:p>
      <w:pPr>
        <w:spacing w:after="60"/>
      </w:pPr>
      <w:r>
        <w:rPr>
          <w:rFonts w:ascii="Arial" w:cs="Arial" w:eastAsia="Arial" w:hAnsi="Arial"/>
          <w:sz w:val="20"/>
          <w:szCs w:val="20"/>
        </w:rPr>
        <w:t xml:space="preserve">Welzijn: wordt iemands gezondheid en geluk beter of slechter?  Autonomie: heeft iemand meer of minder eigen keuze?  Rechtvaardigheid: worden lasten en lusten eerlijk verdeeld?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302"/>
        <w:gridCol w:w="2302"/>
        <w:gridCol w:w="2302"/>
      </w:tblGrid>
      <w:tr>
        <w:trPr>
          <w:tblHeader/>
        </w:trPr>
        <w:tc>
          <w:tcPr>
            <w:tcW w:type="dxa" w:w="3000"/>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Belanghebbende</w:t>
            </w:r>
          </w:p>
        </w:tc>
        <w:tc>
          <w:tcPr>
            <w:tcW w:type="dxa" w:w="2302"/>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Welzijn</w:t>
            </w:r>
          </w:p>
        </w:tc>
        <w:tc>
          <w:tcPr>
            <w:tcW w:type="dxa" w:w="2302"/>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Autonomie</w:t>
            </w:r>
          </w:p>
        </w:tc>
        <w:tc>
          <w:tcPr>
            <w:tcW w:type="dxa" w:w="2302"/>
            <w:tcBorders>
              <w:top w:val="single" w:color="BFC5CC" w:sz="4"/>
              <w:left w:val="single" w:color="BFC5CC" w:sz="4"/>
              <w:bottom w:val="single" w:color="BFC5CC" w:sz="4"/>
              <w:right w:val="single" w:color="BFC5CC" w:sz="4"/>
            </w:tcBorders>
            <w:shd w:fill="354F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Rechtvaardigheid</w:t>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Werknemer met vast contract</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Werknemer in zorg of ploegendienst</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Kleine ondernemer of zelfstandige</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Klant of patiënt</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Eigen keuze:</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520" w:hRule="atLeast"/>
        </w:trPr>
        <w:tc>
          <w:tcPr>
            <w:tcW w:type="dxa" w:w="3000"/>
            <w:tcBorders>
              <w:top w:val="single" w:color="BFC5CC" w:sz="4"/>
              <w:left w:val="single" w:color="BFC5CC" w:sz="4"/>
              <w:bottom w:val="single" w:color="BFC5CC" w:sz="4"/>
              <w:right w:val="single" w:color="BFC5CC" w:sz="4"/>
            </w:tcBorders>
            <w:shd w:fill="E8EFEF" w:color="auto" w:val="clear"/>
            <w:tcMar>
              <w:top w:type="dxa" w:w="80"/>
              <w:left w:type="dxa" w:w="110"/>
              <w:bottom w:type="dxa" w:w="80"/>
              <w:right w:type="dxa" w:w="110"/>
            </w:tcMar>
          </w:tcPr>
          <w:p>
            <w:pPr>
              <w:spacing w:after="20"/>
            </w:pPr>
            <w:r>
              <w:rPr>
                <w:rFonts w:ascii="Arial" w:cs="Arial" w:eastAsia="Arial" w:hAnsi="Arial"/>
                <w:b/>
                <w:bCs/>
                <w:color w:val="354F52"/>
                <w:sz w:val="19"/>
                <w:szCs w:val="19"/>
              </w:rPr>
              <w:t xml:space="preserve">Eigen keuze:</w:t>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302"/>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3 — WAT WEEGT ZWAAR?</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4 — ONS STANDPUNT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partij vergat je bijna? Waarom?</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 principe woog het zwaarst? Wat betekent dat voor je standpunt?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ethische matrix (Mepham, 2000).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6e13b167bf2e063987b7afa866477c4963c31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MW10 Het recht om offline te zijn (HBO HRM, NL)</dc:title>
  <dc:creator>Moreel Vakmanschap</dc:creator>
  <cp:lastModifiedBy>Un-named</cp:lastModifiedBy>
  <cp:revision>1</cp:revision>
  <dcterms:created xsi:type="dcterms:W3CDTF">2026-09-29T10:22:51.338Z</dcterms:created>
  <dcterms:modified xsi:type="dcterms:W3CDTF">2026-09-29T10:22:51.339Z</dcterms:modified>
</cp:coreProperties>
</file>

<file path=docProps/custom.xml><?xml version="1.0" encoding="utf-8"?>
<Properties xmlns="http://schemas.openxmlformats.org/officeDocument/2006/custom-properties" xmlns:vt="http://schemas.openxmlformats.org/officeDocument/2006/docPropsVTypes"/>
</file>