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FFCDB2" w:sz="24"/>
              <w:right w:val="none" w:color="FFFFFF" w:sz="0"/>
            </w:tcBorders>
            <w:shd w:fill="6D6875"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OPDRACHT MW22 — DILEMMADISCUSSIE · HRM</w:t>
            </w:r>
          </w:p>
          <w:p>
            <w:pPr>
              <w:spacing w:after="40" w:line="250"/>
            </w:pPr>
            <w:r>
              <w:rPr>
                <w:rFonts w:ascii="Arial" w:cs="Arial" w:eastAsia="Arial" w:hAnsi="Arial"/>
                <w:b/>
                <w:bCs/>
                <w:color w:val="FFFFFF"/>
                <w:sz w:val="34"/>
                <w:szCs w:val="34"/>
              </w:rPr>
              <w:t xml:space="preserve">De verkeerde bijschrijving</w:t>
            </w:r>
          </w:p>
          <w:p>
            <w:pPr>
              <w:spacing w:after="0"/>
            </w:pPr>
            <w:r>
              <w:rPr>
                <w:rFonts w:ascii="Arial" w:cs="Arial" w:eastAsia="Arial" w:hAnsi="Arial"/>
                <w:color w:val="DDE6F0"/>
                <w:sz w:val="19"/>
                <w:szCs w:val="19"/>
              </w:rPr>
              <w:t xml:space="preserve">Casus: een salarisadministrateur</w:t>
            </w:r>
          </w:p>
        </w:tc>
        <w:tc>
          <w:tcPr>
            <w:tcW w:type="dxa" w:w="2606"/>
            <w:tcBorders>
              <w:top w:val="none" w:color="FFFFFF" w:sz="0"/>
              <w:left w:val="none" w:color="FFFFFF" w:sz="0"/>
              <w:bottom w:val="single" w:color="FFCDB2"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MICRO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D4537E" w:color="auto" w:val="clear"/>
        </w:rPr>
        <w:t xml:space="preserve"> WEGEN </w:t>
      </w:r>
      <w:r>
        <w:rPr>
          <w:rFonts w:ascii="Arial" w:cs="Arial" w:eastAsia="Arial" w:hAnsi="Arial"/>
          <w:sz w:val="17"/>
          <w:szCs w:val="17"/>
        </w:rPr>
        <w:t xml:space="preserve">  </w:t>
      </w:r>
      <w:r>
        <w:rPr>
          <w:rFonts w:ascii="Arial" w:cs="Arial" w:eastAsia="Arial" w:hAnsi="Arial"/>
          <w:color w:val="5F5E5A"/>
          <w:sz w:val="17"/>
          <w:szCs w:val="17"/>
        </w:rPr>
        <w:t xml:space="preserve">     Duur: 60 min     Groep: 10–30 studenten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FFCDB2" w:sz="6"/>
              <w:left w:val="single" w:color="FFCDB2" w:sz="6"/>
              <w:bottom w:val="single" w:color="FFCDB2" w:sz="6"/>
              <w:right w:val="single" w:color="FFCDB2"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FEDF1"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Deniz (29) werkt bij de salarisadministratie van een middelgroot bedrijf. Bij de maandelijkse controle ziet hij dat zijn collega Sanne drie maanden lang driehonderd euro te veel heeft ontvangen. Een systeemfout, zo lijkt het. Niemand heeft het gemerkt. Sanne is een goede vriendin en heeft het al langer financieel zwaar.</w:t>
            </w:r>
          </w:p>
          <w:p>
            <w:pPr>
              <w:spacing w:after="100" w:line="288"/>
            </w:pPr>
            <w:r>
              <w:rPr>
                <w:rFonts w:ascii="Arial" w:cs="Arial" w:eastAsia="Arial" w:hAnsi="Arial"/>
                <w:sz w:val="21"/>
                <w:szCs w:val="21"/>
              </w:rPr>
              <w:t xml:space="preserve">Deniz weet: als hij het meldt, moet Sanne alles terugbetalen. Zij kan dat nauwelijks. Als hij het niet meldt, blijft het misschien onopgemerkt. Maar hij is degene die de controle doet. Als het later uitkomt, wist hij het.</w:t>
            </w:r>
          </w:p>
          <w:p>
            <w:pPr>
              <w:spacing w:after="40" w:line="288"/>
            </w:pPr>
            <w:r>
              <w:rPr>
                <w:rFonts w:ascii="Arial" w:cs="Arial" w:eastAsia="Arial" w:hAnsi="Arial"/>
                <w:sz w:val="21"/>
                <w:szCs w:val="21"/>
              </w:rPr>
              <w:t xml:space="preserve">Deniz kan het zelf beslissen. Niemand kijkt mee. Wat moet hij doen? Meld je het, of laat je het rusten?</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DE WERKWIJZE</w:t>
      </w:r>
    </w:p>
    <w:p>
      <w:pPr>
        <w:pStyle w:val="ListParagraph"/>
        <w:numPr>
          <w:ilvl w:val="0"/>
          <w:numId w:val="2"/>
        </w:numPr>
        <w:spacing w:after="50" w:line="264"/>
      </w:pPr>
      <w:r>
        <w:rPr>
          <w:rFonts w:ascii="Arial" w:cs="Arial" w:eastAsia="Arial" w:hAnsi="Arial"/>
          <w:sz w:val="20"/>
          <w:szCs w:val="20"/>
        </w:rPr>
        <w:t xml:space="preserve">Lees de casus. Kies alleen voor jezelf: melden of niet melden. Schrijf op waarom.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Ga in een groepje zitten met mensen die hetzelfde kozen. Schrijf samen de drie beste argumenten op.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Ga in gesprek met een groepje dat de andere kant koos. Luister en noteer hun beste argument.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Waardeer hardop het beste tegenargument. Verander van keuze als je wilt.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Vul je reflectie in. </w:t>
      </w:r>
      <w:r>
        <w:rPr>
          <w:rFonts w:ascii="Arial" w:cs="Arial" w:eastAsia="Arial" w:hAnsi="Arial"/>
          <w:i/>
          <w:iCs/>
          <w:color w:val="5F5E5A"/>
          <w:sz w:val="18"/>
          <w:szCs w:val="18"/>
        </w:rPr>
        <w:t xml:space="preserve">(10 min)</w:t>
      </w:r>
    </w:p>
    <w:p>
      <w:pPr>
        <w:keepNext/>
        <w:pBdr>
          <w:bottom w:val="single" w:color="5B2D8E" w:sz="8" w:space="2"/>
        </w:pBdr>
        <w:spacing w:after="90" w:before="200"/>
      </w:pPr>
      <w:r>
        <w:rPr>
          <w:rFonts w:ascii="Arial" w:cs="Arial" w:eastAsia="Arial" w:hAnsi="Arial"/>
          <w:b/>
          <w:bCs/>
          <w:color w:val="5B2D8E"/>
          <w:spacing w:val="30"/>
          <w:sz w:val="20"/>
          <w:szCs w:val="20"/>
        </w:rPr>
        <w:t xml:space="preserve">STAP 1 EN 2 — MIJN KEUZE EN ONZE ARGUMENTEN</w:t>
      </w:r>
    </w:p>
    <w:p>
      <w:pPr>
        <w:spacing w:after="0"/>
      </w:pPr>
      <w:r>
        <w:rPr>
          <w:rFonts w:ascii="Arial" w:cs="Arial" w:eastAsia="Arial" w:hAnsi="Arial"/>
          <w:b/>
          <w:bCs/>
          <w:sz w:val="20"/>
          <w:szCs w:val="20"/>
        </w:rPr>
        <w:t xml:space="preserve">Ik kies voor: ☐ melden   ☐ niet melden. Omdat:</w:t>
      </w:r>
    </w:p>
    <w:p>
      <w:pPr>
        <w:pBdr>
          <w:bottom w:val="single" w:color="C9CED4" w:sz="4" w:space="1"/>
        </w:pBdr>
        <w:spacing w:after="0" w:before="0" w:line="330" w:lineRule="exact"/>
        <w:ind w:right="0"/>
      </w:pPr>
      <w:r>
        <w:rPr>
          <w:rFonts w:ascii="Arial" w:cs="Arial" w:eastAsia="Arial" w:hAnsi="Arial"/>
          <w:sz w:val="21"/>
          <w:szCs w:val="21"/>
        </w:rPr>
        <w:t xml:space="preserve"/>
      </w:r>
    </w:p>
    <w:p>
      <w:pPr>
        <w:pBdr>
          <w:bottom w:val="single" w:color="C9CED4" w:sz="4" w:space="1"/>
        </w:pBdr>
        <w:spacing w:after="0" w:before="0" w:line="330" w:lineRule="exact"/>
        <w:ind w:right="2"/>
      </w:pPr>
      <w:r>
        <w:rPr>
          <w:rFonts w:ascii="Arial" w:cs="Arial" w:eastAsia="Arial" w:hAnsi="Arial"/>
          <w:sz w:val="21"/>
          <w:szCs w:val="21"/>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8506"/>
      </w:tblGrid>
      <w:tr>
        <w:trPr>
          <w:tblHeader/>
        </w:trPr>
        <w:tc>
          <w:tcPr>
            <w:tcW w:type="dxa" w:w="1400"/>
            <w:tcBorders>
              <w:top w:val="single" w:color="BFC5CC" w:sz="4"/>
              <w:left w:val="single" w:color="BFC5CC" w:sz="4"/>
              <w:bottom w:val="single" w:color="BFC5CC" w:sz="4"/>
              <w:right w:val="single" w:color="BFC5CC" w:sz="4"/>
            </w:tcBorders>
            <w:shd w:fill="6D6875"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
            </w:r>
          </w:p>
        </w:tc>
        <w:tc>
          <w:tcPr>
            <w:tcW w:type="dxa" w:w="8506"/>
            <w:tcBorders>
              <w:top w:val="single" w:color="BFC5CC" w:sz="4"/>
              <w:left w:val="single" w:color="BFC5CC" w:sz="4"/>
              <w:bottom w:val="single" w:color="BFC5CC" w:sz="4"/>
              <w:right w:val="single" w:color="BFC5CC" w:sz="4"/>
            </w:tcBorders>
            <w:shd w:fill="6D6875"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Onze drie beste argumenten</w:t>
            </w:r>
          </w:p>
        </w:tc>
      </w:tr>
      <w:tr>
        <w:trPr>
          <w:trHeight w:val="620" w:hRule="atLeast"/>
        </w:trPr>
        <w:tc>
          <w:tcPr>
            <w:tcW w:type="dxa" w:w="1400"/>
            <w:tcBorders>
              <w:top w:val="single" w:color="BFC5CC" w:sz="4"/>
              <w:left w:val="single" w:color="BFC5CC" w:sz="4"/>
              <w:bottom w:val="single" w:color="BFC5CC" w:sz="4"/>
              <w:right w:val="single" w:color="BFC5CC" w:sz="4"/>
            </w:tcBorders>
            <w:shd w:fill="EFEDF1" w:color="auto" w:val="clear"/>
            <w:tcMar>
              <w:top w:type="dxa" w:w="80"/>
              <w:left w:type="dxa" w:w="110"/>
              <w:bottom w:type="dxa" w:w="80"/>
              <w:right w:type="dxa" w:w="110"/>
            </w:tcMar>
          </w:tcPr>
          <w:p>
            <w:pPr>
              <w:spacing w:after="20"/>
            </w:pPr>
            <w:r>
              <w:rPr>
                <w:rFonts w:ascii="Arial" w:cs="Arial" w:eastAsia="Arial" w:hAnsi="Arial"/>
                <w:b/>
                <w:bCs/>
                <w:color w:val="6D6875"/>
                <w:sz w:val="19"/>
                <w:szCs w:val="19"/>
              </w:rPr>
              <w:t xml:space="preserve">Argument 1</w:t>
            </w:r>
          </w:p>
        </w:tc>
        <w:tc>
          <w:tcPr>
            <w:tcW w:type="dxa" w:w="8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20" w:hRule="atLeast"/>
        </w:trPr>
        <w:tc>
          <w:tcPr>
            <w:tcW w:type="dxa" w:w="1400"/>
            <w:tcBorders>
              <w:top w:val="single" w:color="BFC5CC" w:sz="4"/>
              <w:left w:val="single" w:color="BFC5CC" w:sz="4"/>
              <w:bottom w:val="single" w:color="BFC5CC" w:sz="4"/>
              <w:right w:val="single" w:color="BFC5CC" w:sz="4"/>
            </w:tcBorders>
            <w:shd w:fill="EFEDF1" w:color="auto" w:val="clear"/>
            <w:tcMar>
              <w:top w:type="dxa" w:w="80"/>
              <w:left w:type="dxa" w:w="110"/>
              <w:bottom w:type="dxa" w:w="80"/>
              <w:right w:type="dxa" w:w="110"/>
            </w:tcMar>
          </w:tcPr>
          <w:p>
            <w:pPr>
              <w:spacing w:after="20"/>
            </w:pPr>
            <w:r>
              <w:rPr>
                <w:rFonts w:ascii="Arial" w:cs="Arial" w:eastAsia="Arial" w:hAnsi="Arial"/>
                <w:b/>
                <w:bCs/>
                <w:color w:val="6D6875"/>
                <w:sz w:val="19"/>
                <w:szCs w:val="19"/>
              </w:rPr>
              <w:t xml:space="preserve">Argument 2</w:t>
            </w:r>
          </w:p>
        </w:tc>
        <w:tc>
          <w:tcPr>
            <w:tcW w:type="dxa" w:w="8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620" w:hRule="atLeast"/>
        </w:trPr>
        <w:tc>
          <w:tcPr>
            <w:tcW w:type="dxa" w:w="1400"/>
            <w:tcBorders>
              <w:top w:val="single" w:color="BFC5CC" w:sz="4"/>
              <w:left w:val="single" w:color="BFC5CC" w:sz="4"/>
              <w:bottom w:val="single" w:color="BFC5CC" w:sz="4"/>
              <w:right w:val="single" w:color="BFC5CC" w:sz="4"/>
            </w:tcBorders>
            <w:shd w:fill="EFEDF1" w:color="auto" w:val="clear"/>
            <w:tcMar>
              <w:top w:type="dxa" w:w="80"/>
              <w:left w:type="dxa" w:w="110"/>
              <w:bottom w:type="dxa" w:w="80"/>
              <w:right w:type="dxa" w:w="110"/>
            </w:tcMar>
          </w:tcPr>
          <w:p>
            <w:pPr>
              <w:spacing w:after="20"/>
            </w:pPr>
            <w:r>
              <w:rPr>
                <w:rFonts w:ascii="Arial" w:cs="Arial" w:eastAsia="Arial" w:hAnsi="Arial"/>
                <w:b/>
                <w:bCs/>
                <w:color w:val="6D6875"/>
                <w:sz w:val="19"/>
                <w:szCs w:val="19"/>
              </w:rPr>
              <w:t xml:space="preserve">Argument 3</w:t>
            </w:r>
          </w:p>
        </w:tc>
        <w:tc>
          <w:tcPr>
            <w:tcW w:type="dxa" w:w="85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STAP 3 EN 4 — HET BESTE TEGENARGUMENT</w:t>
      </w:r>
    </w:p>
    <w:p>
      <w:pPr>
        <w:spacing w:after="0"/>
      </w:pPr>
      <w:r>
        <w:rPr>
          <w:rFonts w:ascii="Arial" w:cs="Arial" w:eastAsia="Arial" w:hAnsi="Arial"/>
          <w:b/>
          <w:bCs/>
          <w:sz w:val="20"/>
          <w:szCs w:val="20"/>
        </w:rPr>
        <w:t xml:space="preserve">Het beste tegenargument van de andere kant was:</w:t>
      </w:r>
    </w:p>
    <w:p>
      <w:pPr>
        <w:pBdr>
          <w:bottom w:val="single" w:color="C9CED4" w:sz="4" w:space="1"/>
        </w:pBdr>
        <w:spacing w:after="0" w:before="0" w:line="330" w:lineRule="exact"/>
        <w:ind w:right="0"/>
      </w:pPr>
      <w:r>
        <w:rPr>
          <w:rFonts w:ascii="Arial" w:cs="Arial" w:eastAsia="Arial" w:hAnsi="Arial"/>
          <w:sz w:val="21"/>
          <w:szCs w:val="21"/>
        </w:rPr>
        <w:t xml:space="preserve"/>
      </w:r>
    </w:p>
    <w:p>
      <w:pPr>
        <w:pBdr>
          <w:bottom w:val="single" w:color="C9CED4" w:sz="4" w:space="1"/>
        </w:pBdr>
        <w:spacing w:after="0" w:before="0" w:line="330" w:lineRule="exact"/>
        <w:ind w:right="2"/>
      </w:pPr>
      <w:r>
        <w:rPr>
          <w:rFonts w:ascii="Arial" w:cs="Arial" w:eastAsia="Arial" w:hAnsi="Arial"/>
          <w:sz w:val="21"/>
          <w:szCs w:val="21"/>
        </w:rPr>
        <w:t xml:space="preserve"/>
      </w:r>
    </w:p>
    <w:p>
      <w:pPr>
        <w:spacing w:after="0"/>
      </w:pPr>
      <w:r>
        <w:rPr>
          <w:rFonts w:ascii="Arial" w:cs="Arial" w:eastAsia="Arial" w:hAnsi="Arial"/>
          <w:b/>
          <w:bCs/>
          <w:sz w:val="20"/>
          <w:szCs w:val="20"/>
        </w:rPr>
        <w:t xml:space="preserve">Ik houd mijn keuze / ik verander mijn keuze, omdat:</w:t>
      </w:r>
    </w:p>
    <w:p>
      <w:pPr>
        <w:pBdr>
          <w:bottom w:val="single" w:color="C9CED4" w:sz="4" w:space="1"/>
        </w:pBdr>
        <w:spacing w:after="0" w:before="0" w:line="330" w:lineRule="exact"/>
        <w:ind w:right="0"/>
      </w:pPr>
      <w:r>
        <w:rPr>
          <w:rFonts w:ascii="Arial" w:cs="Arial" w:eastAsia="Arial" w:hAnsi="Arial"/>
          <w:sz w:val="21"/>
          <w:szCs w:val="21"/>
        </w:rPr>
        <w:t xml:space="preserve"/>
      </w:r>
    </w:p>
    <w:p>
      <w:pPr>
        <w:pBdr>
          <w:bottom w:val="single" w:color="C9CED4" w:sz="4" w:space="1"/>
        </w:pBdr>
        <w:spacing w:after="0" w:before="0" w:line="330" w:lineRule="exact"/>
        <w:ind w:right="2"/>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D4537E" w:color="auto" w:val="clear"/>
        </w:rPr>
        <w:t xml:space="preserve"> WEGEN </w:t>
      </w:r>
      <w:r>
        <w:rPr>
          <w:rFonts w:ascii="Arial" w:cs="Arial" w:eastAsia="Arial" w:hAnsi="Arial"/>
          <w:sz w:val="20"/>
          <w:szCs w:val="20"/>
        </w:rPr>
        <w:t xml:space="preserve">  Wat woog voor jou het zwaarst: de regel, de gevolgen voor Sanne of de rol van Deniz? Onderbouw met minstens twee perspectieven.</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p>
      <w:pPr>
        <w:pBdr>
          <w:bottom w:val="single" w:color="C9CED4" w:sz="4" w:space="1"/>
        </w:pBdr>
        <w:spacing w:after="0" w:before="0" w:line="340" w:lineRule="exact"/>
        <w:ind w:right="6"/>
      </w:pPr>
      <w:r>
        <w:rPr>
          <w:rFonts w:ascii="Arial" w:cs="Arial" w:eastAsia="Arial" w:hAnsi="Arial"/>
          <w:sz w:val="21"/>
          <w:szCs w:val="21"/>
        </w:rPr>
        <w:t xml:space="preserve"/>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Werkvorm gebaseerd op: dilemmadiscussie (Blatt &amp; Kohlberg, 1975; in eigen woorden uitgewerkt).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4b62ef35df1a8ddfc9af5708d7c76498cef57e.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MW22 De verkeerde bijschrijving (HBO HRM, NL)</dc:title>
  <dc:creator>Moreel Vakmanschap</dc:creator>
  <cp:lastModifiedBy>Un-named</cp:lastModifiedBy>
  <cp:revision>1</cp:revision>
  <dcterms:created xsi:type="dcterms:W3CDTF">2026-09-30T09:24:23.022Z</dcterms:created>
  <dcterms:modified xsi:type="dcterms:W3CDTF">2026-09-30T09:24:23.023Z</dcterms:modified>
</cp:coreProperties>
</file>

<file path=docProps/custom.xml><?xml version="1.0" encoding="utf-8"?>
<Properties xmlns="http://schemas.openxmlformats.org/officeDocument/2006/custom-properties" xmlns:vt="http://schemas.openxmlformats.org/officeDocument/2006/docPropsVTypes"/>
</file>