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300"/>
        <w:gridCol w:w="2606"/>
      </w:tblGrid>
      <w:tr>
        <w:tc>
          <w:tcPr>
            <w:tcW w:type="dxa" w:w="7300"/>
            <w:tcBorders>
              <w:top w:val="none" w:color="FFFFFF" w:sz="0"/>
              <w:left w:val="none" w:color="FFFFFF" w:sz="0"/>
              <w:bottom w:val="single" w:color="F7B267" w:sz="24"/>
              <w:right w:val="none" w:color="FFFFFF" w:sz="0"/>
            </w:tcBorders>
            <w:shd w:fill="B03A2E" w:color="auto" w:val="clear"/>
            <w:tcMar>
              <w:top w:type="dxa" w:w="140"/>
              <w:left w:type="dxa" w:w="220"/>
              <w:bottom w:type="dxa" w:w="140"/>
              <w:right w:type="dxa" w:w="120"/>
            </w:tcMar>
          </w:tcPr>
          <w:p>
            <w:pPr>
              <w:spacing w:after="40"/>
            </w:pPr>
            <w:r>
              <w:rPr>
                <w:rFonts w:ascii="Arial" w:cs="Arial" w:eastAsia="Arial" w:hAnsi="Arial"/>
                <w:b/>
                <w:bCs/>
                <w:color w:val="F3C98B"/>
                <w:spacing w:val="30"/>
                <w:sz w:val="16"/>
                <w:szCs w:val="16"/>
              </w:rPr>
              <w:t xml:space="preserve">OPDRACHT MW24 — VIER HOEKEN · HRM</w:t>
            </w:r>
          </w:p>
          <w:p>
            <w:pPr>
              <w:spacing w:after="40" w:line="250"/>
            </w:pPr>
            <w:r>
              <w:rPr>
                <w:rFonts w:ascii="Arial" w:cs="Arial" w:eastAsia="Arial" w:hAnsi="Arial"/>
                <w:b/>
                <w:bCs/>
                <w:color w:val="FFFFFF"/>
                <w:sz w:val="34"/>
                <w:szCs w:val="34"/>
              </w:rPr>
              <w:t xml:space="preserve">De taxibon van Henk</w:t>
            </w:r>
          </w:p>
          <w:p>
            <w:pPr>
              <w:spacing w:after="0"/>
            </w:pPr>
            <w:r>
              <w:rPr>
                <w:rFonts w:ascii="Arial" w:cs="Arial" w:eastAsia="Arial" w:hAnsi="Arial"/>
                <w:color w:val="DDE6F0"/>
                <w:sz w:val="19"/>
                <w:szCs w:val="19"/>
              </w:rPr>
              <w:t xml:space="preserve">Casus: een stagiaire ziet iets wat niet klopt</w:t>
            </w:r>
          </w:p>
        </w:tc>
        <w:tc>
          <w:tcPr>
            <w:tcW w:type="dxa" w:w="2606"/>
            <w:tcBorders>
              <w:top w:val="none" w:color="FFFFFF" w:sz="0"/>
              <w:left w:val="none" w:color="FFFFFF" w:sz="0"/>
              <w:bottom w:val="single" w:color="F7B267" w:sz="24"/>
              <w:right w:val="none" w:color="FFFFFF" w:sz="0"/>
            </w:tcBorders>
            <w:shd w:fill="993556" w:color="auto" w:val="clear"/>
            <w:tcMar>
              <w:top w:type="dxa" w:w="100"/>
              <w:left w:type="dxa" w:w="100"/>
              <w:bottom w:type="dxa" w:w="100"/>
              <w:right w:type="dxa" w:w="100"/>
            </w:tcMar>
            <w:vAlign w:val="center"/>
          </w:tcPr>
          <w:p>
            <w:pPr>
              <w:spacing w:after="30"/>
              <w:jc w:val="center"/>
            </w:pPr>
            <w:r>
              <w:rPr>
                <w:rFonts w:ascii="Arial" w:cs="Arial" w:eastAsia="Arial" w:hAnsi="Arial"/>
                <w:b/>
                <w:bCs/>
                <w:color w:val="F5D9E2"/>
                <w:spacing w:val="30"/>
                <w:sz w:val="14"/>
                <w:szCs w:val="14"/>
              </w:rPr>
              <w:t xml:space="preserve">COMPLEXITEIT</w:t>
            </w:r>
          </w:p>
          <w:p>
            <w:pPr>
              <w:spacing w:after="0"/>
              <w:jc w:val="center"/>
            </w:pPr>
            <w:r>
              <w:rPr>
                <w:rFonts w:ascii="Arial" w:cs="Arial" w:eastAsia="Arial" w:hAnsi="Arial"/>
                <w:b/>
                <w:bCs/>
                <w:color w:val="FFFFFF"/>
                <w:sz w:val="26"/>
                <w:szCs w:val="26"/>
              </w:rPr>
              <w:t xml:space="preserve">MESO ★★☆</w:t>
            </w:r>
          </w:p>
        </w:tc>
      </w:tr>
    </w:tbl>
    <w:p>
      <w:pPr>
        <w:spacing w:after="120" w:before="100"/>
      </w:pPr>
      <w:r>
        <w:rPr>
          <w:rFonts w:ascii="Arial" w:cs="Arial" w:eastAsia="Arial" w:hAnsi="Arial"/>
          <w:color w:val="5F5E5A"/>
          <w:sz w:val="17"/>
          <w:szCs w:val="17"/>
        </w:rPr>
        <w:t xml:space="preserve">Fase in het model:  </w:t>
      </w:r>
      <w:r>
        <w:rPr>
          <w:rFonts w:ascii="Arial" w:cs="Arial" w:eastAsia="Arial" w:hAnsi="Arial"/>
          <w:b/>
          <w:bCs/>
          <w:color w:val="FFFFFF"/>
          <w:sz w:val="17"/>
          <w:szCs w:val="17"/>
          <w:shd w:fill="C97F0A" w:color="auto" w:val="clear"/>
        </w:rPr>
        <w:t xml:space="preserve"> VOELEN </w:t>
      </w:r>
      <w:r>
        <w:rPr>
          <w:rFonts w:ascii="Arial" w:cs="Arial" w:eastAsia="Arial" w:hAnsi="Arial"/>
          <w:sz w:val="17"/>
          <w:szCs w:val="17"/>
        </w:rPr>
        <w:t xml:space="preserve">  </w:t>
      </w:r>
      <w:r>
        <w:rPr>
          <w:rFonts w:ascii="Arial" w:cs="Arial" w:eastAsia="Arial" w:hAnsi="Arial"/>
          <w:b/>
          <w:bCs/>
          <w:color w:val="FFFFFF"/>
          <w:sz w:val="17"/>
          <w:szCs w:val="17"/>
          <w:shd w:fill="D4537E" w:color="auto" w:val="clear"/>
        </w:rPr>
        <w:t xml:space="preserve"> WEGEN </w:t>
      </w:r>
      <w:r>
        <w:rPr>
          <w:rFonts w:ascii="Arial" w:cs="Arial" w:eastAsia="Arial" w:hAnsi="Arial"/>
          <w:sz w:val="17"/>
          <w:szCs w:val="17"/>
        </w:rPr>
        <w:t xml:space="preserve">  </w:t>
      </w:r>
      <w:r>
        <w:rPr>
          <w:rFonts w:ascii="Arial" w:cs="Arial" w:eastAsia="Arial" w:hAnsi="Arial"/>
          <w:color w:val="5F5E5A"/>
          <w:sz w:val="17"/>
          <w:szCs w:val="17"/>
        </w:rPr>
        <w:t xml:space="preserve">     Duur: 25 min     Groep: 12–30 studenten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F7B267" w:sz="6"/>
              <w:left w:val="single" w:color="F7B267" w:sz="6"/>
              <w:bottom w:val="single" w:color="F7B267" w:sz="6"/>
              <w:right w:val="single" w:color="F7B267" w:sz="6"/>
            </w:tcBorders>
            <w:tcMar>
              <w:top w:type="dxa" w:w="0"/>
              <w:left w:type="dxa" w:w="0"/>
              <w:bottom w:type="dxa" w:w="0"/>
              <w:right w:type="dxa" w:w="0"/>
            </w:tcMar>
          </w:tcPr>
          <w:p>
            <w:pPr>
              <w:spacing w:after="0"/>
            </w:pPr>
            <w:r>
              <w:drawing>
                <wp:inline distT="0" distB="0" distL="0" distR="0">
                  <wp:extent cx="6238875" cy="350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238875" cy="3505200"/>
                          </a:xfrm>
                          <a:prstGeom prst="rect">
                            <a:avLst/>
                          </a:prstGeom>
                        </pic:spPr>
                      </pic:pic>
                    </a:graphicData>
                  </a:graphic>
                </wp:inline>
              </w:drawing>
            </w:r>
          </w:p>
        </w:tc>
      </w:tr>
    </w:tbl>
    <w:p>
      <w:pPr>
        <w:keepNext/>
        <w:pBdr>
          <w:bottom w:val="single" w:color="5B2D8E" w:sz="8" w:space="2"/>
        </w:pBdr>
        <w:spacing w:after="90" w:before="200"/>
      </w:pPr>
      <w:r>
        <w:rPr>
          <w:rFonts w:ascii="Arial" w:cs="Arial" w:eastAsia="Arial" w:hAnsi="Arial"/>
          <w:b/>
          <w:bCs/>
          <w:color w:val="5B2D8E"/>
          <w:spacing w:val="30"/>
          <w:sz w:val="20"/>
          <w:szCs w:val="20"/>
        </w:rPr>
        <w:t xml:space="preserve">DE SITUATIE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single" w:color="993556" w:sz="36"/>
              <w:bottom w:val="none" w:color="FFFFFF" w:sz="0"/>
              <w:right w:val="none" w:color="FFFFFF" w:sz="0"/>
            </w:tcBorders>
            <w:shd w:fill="FBE9E7" w:color="auto" w:val="clear"/>
            <w:tcMar>
              <w:top w:type="dxa" w:w="140"/>
              <w:left w:type="dxa" w:w="240"/>
              <w:bottom w:type="dxa" w:w="100"/>
              <w:right w:type="dxa" w:w="200"/>
            </w:tcMar>
          </w:tcPr>
          <w:p>
            <w:pPr>
              <w:spacing w:after="100" w:line="288"/>
            </w:pPr>
            <w:r>
              <w:rPr>
                <w:rFonts w:ascii="Arial" w:cs="Arial" w:eastAsia="Arial" w:hAnsi="Arial"/>
                <w:sz w:val="21"/>
                <w:szCs w:val="21"/>
              </w:rPr>
              <w:t xml:space="preserve">Lotte (21) loopt stage bij de financiële afdeling van een bouwbedrijf. Bij het klaarzetten van declaraties ziet ze een bon van een taxirit van €38 op zaterdagavond. Het is van haar stagebegeleider Henk. De omschrijving zegt “klantbezoek”.</w:t>
            </w:r>
          </w:p>
          <w:p>
            <w:pPr>
              <w:spacing w:after="100" w:line="288"/>
            </w:pPr>
            <w:r>
              <w:rPr>
                <w:rFonts w:ascii="Arial" w:cs="Arial" w:eastAsia="Arial" w:hAnsi="Arial"/>
                <w:sz w:val="21"/>
                <w:szCs w:val="21"/>
              </w:rPr>
              <w:t xml:space="preserve">Lotte weet toevallig dat Henk die avond bij een verjaardag was. Ze is niet zeker, en ze wil haar stage goed afronden. Henk is aardig en heeft haar veel geleerd. Toch vindt ze dat er iets niet klopt.</w:t>
            </w:r>
          </w:p>
          <w:p>
            <w:pPr>
              <w:spacing w:after="40" w:line="288"/>
            </w:pPr>
            <w:r>
              <w:rPr>
                <w:rFonts w:ascii="Arial" w:cs="Arial" w:eastAsia="Arial" w:hAnsi="Arial"/>
                <w:sz w:val="21"/>
                <w:szCs w:val="21"/>
              </w:rPr>
              <w:t xml:space="preserve">Lotte heeft vier opties. Kies een hoek en verdedig je keuze met een sterk argument.</w:t>
            </w:r>
          </w:p>
        </w:tc>
      </w:tr>
    </w:tbl>
    <w:p>
      <w:pPr>
        <w:spacing w:after="0" w:before="60"/>
      </w:pPr>
      <w:r>
        <w:rPr>
          <w:rFonts w:ascii="Arial" w:cs="Arial" w:eastAsia="Arial" w:hAnsi="Arial"/>
          <w:i/>
          <w:iCs/>
          <w:color w:val="5F5E5A"/>
          <w:sz w:val="15"/>
          <w:szCs w:val="15"/>
        </w:rPr>
        <w:t xml:space="preserve">Fictieve casus. Gelijkenis met bestaande personen of organisaties berust op toeval.</w:t>
      </w:r>
    </w:p>
    <w:p>
      <w:pPr>
        <w:pageBreakBefore/>
        <w:spacing w:after="0"/>
      </w:pPr>
      <w:r>
        <w:rPr>
          <w:rFonts w:ascii="Arial" w:cs="Arial" w:eastAsia="Arial" w:hAnsi="Arial"/>
          <w:sz w:val="21"/>
          <w:szCs w:val="21"/>
        </w:rPr>
        <w:t xml:space="preserve"/>
      </w:r>
    </w:p>
    <w:p>
      <w:pPr>
        <w:keepNext/>
        <w:pBdr>
          <w:bottom w:val="single" w:color="5B2D8E" w:sz="8" w:space="2"/>
        </w:pBdr>
        <w:spacing w:after="90" w:before="200"/>
      </w:pPr>
      <w:r>
        <w:rPr>
          <w:rFonts w:ascii="Arial" w:cs="Arial" w:eastAsia="Arial" w:hAnsi="Arial"/>
          <w:b/>
          <w:bCs/>
          <w:color w:val="5B2D8E"/>
          <w:spacing w:val="30"/>
          <w:sz w:val="20"/>
          <w:szCs w:val="20"/>
        </w:rPr>
        <w:t xml:space="preserve">DE WERKWIJZE</w:t>
      </w:r>
    </w:p>
    <w:p>
      <w:pPr>
        <w:pStyle w:val="ListParagraph"/>
        <w:numPr>
          <w:ilvl w:val="0"/>
          <w:numId w:val="2"/>
        </w:numPr>
        <w:spacing w:after="50" w:line="264"/>
      </w:pPr>
      <w:r>
        <w:rPr>
          <w:rFonts w:ascii="Arial" w:cs="Arial" w:eastAsia="Arial" w:hAnsi="Arial"/>
          <w:sz w:val="20"/>
          <w:szCs w:val="20"/>
        </w:rPr>
        <w:t xml:space="preserve">Lees de casus en de vier opties. Kies een hoek en noteer wat je voelt. </w:t>
      </w:r>
      <w:r>
        <w:rPr>
          <w:rFonts w:ascii="Arial" w:cs="Arial" w:eastAsia="Arial" w:hAnsi="Arial"/>
          <w:i/>
          <w:iCs/>
          <w:color w:val="5F5E5A"/>
          <w:sz w:val="18"/>
          <w:szCs w:val="18"/>
        </w:rPr>
        <w:t xml:space="preserve">(5 min)</w:t>
      </w:r>
    </w:p>
    <w:p>
      <w:pPr>
        <w:pStyle w:val="ListParagraph"/>
        <w:numPr>
          <w:ilvl w:val="0"/>
          <w:numId w:val="2"/>
        </w:numPr>
        <w:spacing w:after="50" w:line="264"/>
      </w:pPr>
      <w:r>
        <w:rPr>
          <w:rFonts w:ascii="Arial" w:cs="Arial" w:eastAsia="Arial" w:hAnsi="Arial"/>
          <w:sz w:val="20"/>
          <w:szCs w:val="20"/>
        </w:rPr>
        <w:t xml:space="preserve">Overleg in je hoek: wat is jullie beste argument? </w:t>
      </w:r>
      <w:r>
        <w:rPr>
          <w:rFonts w:ascii="Arial" w:cs="Arial" w:eastAsia="Arial" w:hAnsi="Arial"/>
          <w:i/>
          <w:iCs/>
          <w:color w:val="5F5E5A"/>
          <w:sz w:val="18"/>
          <w:szCs w:val="18"/>
        </w:rPr>
        <w:t xml:space="preserve">(8 min)</w:t>
      </w:r>
    </w:p>
    <w:p>
      <w:pPr>
        <w:pStyle w:val="ListParagraph"/>
        <w:numPr>
          <w:ilvl w:val="0"/>
          <w:numId w:val="2"/>
        </w:numPr>
        <w:spacing w:after="50" w:line="264"/>
      </w:pPr>
      <w:r>
        <w:rPr>
          <w:rFonts w:ascii="Arial" w:cs="Arial" w:eastAsia="Arial" w:hAnsi="Arial"/>
          <w:sz w:val="20"/>
          <w:szCs w:val="20"/>
        </w:rPr>
        <w:t xml:space="preserve">Presenteer je argument. Mag iemand van hoek wisselen? Doe dat en leg uit waarom. </w:t>
      </w:r>
      <w:r>
        <w:rPr>
          <w:rFonts w:ascii="Arial" w:cs="Arial" w:eastAsia="Arial" w:hAnsi="Arial"/>
          <w:i/>
          <w:iCs/>
          <w:color w:val="5F5E5A"/>
          <w:sz w:val="18"/>
          <w:szCs w:val="18"/>
        </w:rPr>
        <w:t xml:space="preserve">(7 min)</w:t>
      </w:r>
    </w:p>
    <w:p>
      <w:pPr>
        <w:pStyle w:val="ListParagraph"/>
        <w:numPr>
          <w:ilvl w:val="0"/>
          <w:numId w:val="2"/>
        </w:numPr>
        <w:spacing w:after="50" w:line="264"/>
      </w:pPr>
      <w:r>
        <w:rPr>
          <w:rFonts w:ascii="Arial" w:cs="Arial" w:eastAsia="Arial" w:hAnsi="Arial"/>
          <w:sz w:val="20"/>
          <w:szCs w:val="20"/>
        </w:rPr>
        <w:t xml:space="preserve">Vul je reflectie in. </w:t>
      </w:r>
      <w:r>
        <w:rPr>
          <w:rFonts w:ascii="Arial" w:cs="Arial" w:eastAsia="Arial" w:hAnsi="Arial"/>
          <w:i/>
          <w:iCs/>
          <w:color w:val="5F5E5A"/>
          <w:sz w:val="18"/>
          <w:szCs w:val="18"/>
        </w:rPr>
        <w:t xml:space="preserve">(5 min)</w:t>
      </w:r>
    </w:p>
    <w:p>
      <w:pPr>
        <w:keepNext/>
        <w:pBdr>
          <w:bottom w:val="single" w:color="5B2D8E" w:sz="8" w:space="2"/>
        </w:pBdr>
        <w:spacing w:after="90" w:before="200"/>
      </w:pPr>
      <w:r>
        <w:rPr>
          <w:rFonts w:ascii="Arial" w:cs="Arial" w:eastAsia="Arial" w:hAnsi="Arial"/>
          <w:b/>
          <w:bCs/>
          <w:color w:val="5B2D8E"/>
          <w:spacing w:val="30"/>
          <w:sz w:val="20"/>
          <w:szCs w:val="20"/>
        </w:rPr>
        <w:t xml:space="preserve">DE VIER HOEKEN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rHeight w:val="820" w:hRule="atLeast"/>
        </w:trPr>
        <w:tc>
          <w:tcPr>
            <w:tcW w:type="dxa" w:w="4953"/>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20"/>
            </w:pPr>
            <w:r>
              <w:rPr>
                <w:rFonts w:ascii="Arial" w:cs="Arial" w:eastAsia="Arial" w:hAnsi="Arial"/>
                <w:b/>
                <w:bCs/>
                <w:color w:val="B03A2E"/>
                <w:sz w:val="18"/>
                <w:szCs w:val="18"/>
              </w:rPr>
              <w:t xml:space="preserve">Hoek A: Henk aanspreken</w:t>
            </w:r>
          </w:p>
          <w:p>
            <w:pPr>
              <w:spacing w:after="0" w:line="220"/>
            </w:pPr>
            <w:r>
              <w:rPr>
                <w:rFonts w:ascii="Arial" w:cs="Arial" w:eastAsia="Arial" w:hAnsi="Arial"/>
                <w:i/>
                <w:iCs/>
                <w:color w:val="5F5E5A"/>
                <w:sz w:val="15"/>
                <w:szCs w:val="15"/>
              </w:rPr>
              <w:t xml:space="preserve">Lotte gaat eerst rustig met hem praten.</w:t>
            </w:r>
          </w:p>
        </w:tc>
        <w:tc>
          <w:tcPr>
            <w:tcW w:type="dxa" w:w="4953"/>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20"/>
            </w:pPr>
            <w:r>
              <w:rPr>
                <w:rFonts w:ascii="Arial" w:cs="Arial" w:eastAsia="Arial" w:hAnsi="Arial"/>
                <w:b/>
                <w:bCs/>
                <w:color w:val="B03A2E"/>
                <w:sz w:val="18"/>
                <w:szCs w:val="18"/>
              </w:rPr>
              <w:t xml:space="preserve">Hoek B: Melden bij HR of vertrouwenspersoon</w:t>
            </w:r>
          </w:p>
          <w:p>
            <w:pPr>
              <w:spacing w:after="0" w:line="220"/>
            </w:pPr>
            <w:r>
              <w:rPr>
                <w:rFonts w:ascii="Arial" w:cs="Arial" w:eastAsia="Arial" w:hAnsi="Arial"/>
                <w:i/>
                <w:iCs/>
                <w:color w:val="5F5E5A"/>
                <w:sz w:val="15"/>
                <w:szCs w:val="15"/>
              </w:rPr>
              <w:t xml:space="preserve">Lotte gebruikt de officiële weg.</w:t>
            </w:r>
          </w:p>
        </w:tc>
      </w:tr>
      <w:tr>
        <w:trPr>
          <w:trHeight w:val="820" w:hRule="atLeast"/>
        </w:trPr>
        <w:tc>
          <w:tcPr>
            <w:tcW w:type="dxa" w:w="4953"/>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20"/>
            </w:pPr>
            <w:r>
              <w:rPr>
                <w:rFonts w:ascii="Arial" w:cs="Arial" w:eastAsia="Arial" w:hAnsi="Arial"/>
                <w:b/>
                <w:bCs/>
                <w:color w:val="B03A2E"/>
                <w:sz w:val="18"/>
                <w:szCs w:val="18"/>
              </w:rPr>
              <w:t xml:space="preserve">Hoek C: Niets doen</w:t>
            </w:r>
          </w:p>
          <w:p>
            <w:pPr>
              <w:spacing w:after="0" w:line="220"/>
            </w:pPr>
            <w:r>
              <w:rPr>
                <w:rFonts w:ascii="Arial" w:cs="Arial" w:eastAsia="Arial" w:hAnsi="Arial"/>
                <w:i/>
                <w:iCs/>
                <w:color w:val="5F5E5A"/>
                <w:sz w:val="15"/>
                <w:szCs w:val="15"/>
              </w:rPr>
              <w:t xml:space="preserve">Lotte laat het zitten en rondt haar stage af.</w:t>
            </w:r>
          </w:p>
        </w:tc>
        <w:tc>
          <w:tcPr>
            <w:tcW w:type="dxa" w:w="4953"/>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20"/>
            </w:pPr>
            <w:r>
              <w:rPr>
                <w:rFonts w:ascii="Arial" w:cs="Arial" w:eastAsia="Arial" w:hAnsi="Arial"/>
                <w:b/>
                <w:bCs/>
                <w:color w:val="B03A2E"/>
                <w:sz w:val="18"/>
                <w:szCs w:val="18"/>
              </w:rPr>
              <w:t xml:space="preserve">Hoek D: Eerst overleggen met een collega</w:t>
            </w:r>
          </w:p>
          <w:p>
            <w:pPr>
              <w:spacing w:after="0" w:line="220"/>
            </w:pPr>
            <w:r>
              <w:rPr>
                <w:rFonts w:ascii="Arial" w:cs="Arial" w:eastAsia="Arial" w:hAnsi="Arial"/>
                <w:i/>
                <w:iCs/>
                <w:color w:val="5F5E5A"/>
                <w:sz w:val="15"/>
                <w:szCs w:val="15"/>
              </w:rPr>
              <w:t xml:space="preserve">Lotte vraagt of anderen ook iets zien.</w:t>
            </w:r>
          </w:p>
        </w:tc>
      </w:tr>
    </w:tbl>
    <w:p>
      <w:pPr>
        <w:keepNext/>
        <w:pBdr>
          <w:bottom w:val="single" w:color="5B2D8E" w:sz="8" w:space="2"/>
        </w:pBdr>
        <w:spacing w:after="90" w:before="200"/>
      </w:pPr>
      <w:r>
        <w:rPr>
          <w:rFonts w:ascii="Arial" w:cs="Arial" w:eastAsia="Arial" w:hAnsi="Arial"/>
          <w:b/>
          <w:bCs/>
          <w:color w:val="5B2D8E"/>
          <w:spacing w:val="30"/>
          <w:sz w:val="20"/>
          <w:szCs w:val="20"/>
        </w:rPr>
        <w:t xml:space="preserve">MIJN HOEK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400"/>
        <w:gridCol w:w="6506"/>
      </w:tblGrid>
      <w:tr>
        <w:trPr>
          <w:tblHeader/>
        </w:trPr>
        <w:tc>
          <w:tcPr>
            <w:tcW w:type="dxa" w:w="3400"/>
            <w:tcBorders>
              <w:top w:val="single" w:color="BFC5CC" w:sz="4"/>
              <w:left w:val="single" w:color="BFC5CC" w:sz="4"/>
              <w:bottom w:val="single" w:color="BFC5CC" w:sz="4"/>
              <w:right w:val="single" w:color="BFC5CC" w:sz="4"/>
            </w:tcBorders>
            <w:shd w:fill="B03A2E" w:color="auto" w:val="clear"/>
            <w:tcMar>
              <w:top w:type="dxa" w:w="80"/>
              <w:left w:type="dxa" w:w="110"/>
              <w:bottom w:type="dxa" w:w="80"/>
              <w:right w:type="dxa" w:w="110"/>
            </w:tcMar>
          </w:tcPr>
          <w:p>
            <w:pPr>
              <w:spacing w:after="0"/>
            </w:pPr>
            <w:r>
              <w:rPr>
                <w:rFonts w:ascii="Arial" w:cs="Arial" w:eastAsia="Arial" w:hAnsi="Arial"/>
                <w:b/>
                <w:bCs/>
                <w:color w:val="FFFFFF"/>
                <w:sz w:val="19"/>
                <w:szCs w:val="19"/>
              </w:rPr>
              <w:t xml:space="preserve"/>
            </w:r>
          </w:p>
        </w:tc>
        <w:tc>
          <w:tcPr>
            <w:tcW w:type="dxa" w:w="6506"/>
            <w:tcBorders>
              <w:top w:val="single" w:color="BFC5CC" w:sz="4"/>
              <w:left w:val="single" w:color="BFC5CC" w:sz="4"/>
              <w:bottom w:val="single" w:color="BFC5CC" w:sz="4"/>
              <w:right w:val="single" w:color="BFC5CC" w:sz="4"/>
            </w:tcBorders>
            <w:shd w:fill="B03A2E" w:color="auto" w:val="clear"/>
            <w:tcMar>
              <w:top w:type="dxa" w:w="80"/>
              <w:left w:type="dxa" w:w="110"/>
              <w:bottom w:type="dxa" w:w="80"/>
              <w:right w:type="dxa" w:w="110"/>
            </w:tcMar>
          </w:tcPr>
          <w:p>
            <w:pPr>
              <w:spacing w:after="0"/>
            </w:pPr>
            <w:r>
              <w:rPr>
                <w:rFonts w:ascii="Arial" w:cs="Arial" w:eastAsia="Arial" w:hAnsi="Arial"/>
                <w:b/>
                <w:bCs/>
                <w:color w:val="FFFFFF"/>
                <w:sz w:val="19"/>
                <w:szCs w:val="19"/>
              </w:rPr>
              <w:t xml:space="preserve">Mijn antwoord</w:t>
            </w:r>
          </w:p>
        </w:tc>
      </w:tr>
      <w:tr>
        <w:trPr>
          <w:trHeight w:val="620" w:hRule="atLeast"/>
        </w:trPr>
        <w:tc>
          <w:tcPr>
            <w:tcW w:type="dxa" w:w="3400"/>
            <w:tcBorders>
              <w:top w:val="single" w:color="BFC5CC" w:sz="4"/>
              <w:left w:val="single" w:color="BFC5CC" w:sz="4"/>
              <w:bottom w:val="single" w:color="BFC5CC" w:sz="4"/>
              <w:right w:val="single" w:color="BFC5CC" w:sz="4"/>
            </w:tcBorders>
            <w:shd w:fill="FBE9E7" w:color="auto" w:val="clear"/>
            <w:tcMar>
              <w:top w:type="dxa" w:w="80"/>
              <w:left w:type="dxa" w:w="110"/>
              <w:bottom w:type="dxa" w:w="80"/>
              <w:right w:type="dxa" w:w="110"/>
            </w:tcMar>
          </w:tcPr>
          <w:p>
            <w:pPr>
              <w:spacing w:after="20"/>
            </w:pPr>
            <w:r>
              <w:rPr>
                <w:rFonts w:ascii="Arial" w:cs="Arial" w:eastAsia="Arial" w:hAnsi="Arial"/>
                <w:b/>
                <w:bCs/>
                <w:color w:val="B03A2E"/>
                <w:sz w:val="19"/>
                <w:szCs w:val="19"/>
              </w:rPr>
              <w:t xml:space="preserve">Wat voelde ik bij het kiezen?</w:t>
            </w:r>
          </w:p>
        </w:tc>
        <w:tc>
          <w:tcPr>
            <w:tcW w:type="dxa" w:w="65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r>
      <w:tr>
        <w:trPr>
          <w:trHeight w:val="620" w:hRule="atLeast"/>
        </w:trPr>
        <w:tc>
          <w:tcPr>
            <w:tcW w:type="dxa" w:w="3400"/>
            <w:tcBorders>
              <w:top w:val="single" w:color="BFC5CC" w:sz="4"/>
              <w:left w:val="single" w:color="BFC5CC" w:sz="4"/>
              <w:bottom w:val="single" w:color="BFC5CC" w:sz="4"/>
              <w:right w:val="single" w:color="BFC5CC" w:sz="4"/>
            </w:tcBorders>
            <w:shd w:fill="FBE9E7" w:color="auto" w:val="clear"/>
            <w:tcMar>
              <w:top w:type="dxa" w:w="80"/>
              <w:left w:type="dxa" w:w="110"/>
              <w:bottom w:type="dxa" w:w="80"/>
              <w:right w:type="dxa" w:w="110"/>
            </w:tcMar>
          </w:tcPr>
          <w:p>
            <w:pPr>
              <w:spacing w:after="20"/>
            </w:pPr>
            <w:r>
              <w:rPr>
                <w:rFonts w:ascii="Arial" w:cs="Arial" w:eastAsia="Arial" w:hAnsi="Arial"/>
                <w:b/>
                <w:bCs/>
                <w:color w:val="B03A2E"/>
                <w:sz w:val="19"/>
                <w:szCs w:val="19"/>
              </w:rPr>
              <w:t xml:space="preserve">Welke waarde speelt mee?</w:t>
            </w:r>
          </w:p>
        </w:tc>
        <w:tc>
          <w:tcPr>
            <w:tcW w:type="dxa" w:w="65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r>
      <w:tr>
        <w:trPr>
          <w:trHeight w:val="620" w:hRule="atLeast"/>
        </w:trPr>
        <w:tc>
          <w:tcPr>
            <w:tcW w:type="dxa" w:w="3400"/>
            <w:tcBorders>
              <w:top w:val="single" w:color="BFC5CC" w:sz="4"/>
              <w:left w:val="single" w:color="BFC5CC" w:sz="4"/>
              <w:bottom w:val="single" w:color="BFC5CC" w:sz="4"/>
              <w:right w:val="single" w:color="BFC5CC" w:sz="4"/>
            </w:tcBorders>
            <w:shd w:fill="FBE9E7" w:color="auto" w:val="clear"/>
            <w:tcMar>
              <w:top w:type="dxa" w:w="80"/>
              <w:left w:type="dxa" w:w="110"/>
              <w:bottom w:type="dxa" w:w="80"/>
              <w:right w:type="dxa" w:w="110"/>
            </w:tcMar>
          </w:tcPr>
          <w:p>
            <w:pPr>
              <w:spacing w:after="20"/>
            </w:pPr>
            <w:r>
              <w:rPr>
                <w:rFonts w:ascii="Arial" w:cs="Arial" w:eastAsia="Arial" w:hAnsi="Arial"/>
                <w:b/>
                <w:bCs/>
                <w:color w:val="B03A2E"/>
                <w:sz w:val="19"/>
                <w:szCs w:val="19"/>
              </w:rPr>
              <w:t xml:space="preserve">Ons beste argument</w:t>
            </w:r>
          </w:p>
        </w:tc>
        <w:tc>
          <w:tcPr>
            <w:tcW w:type="dxa" w:w="65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r>
      <w:tr>
        <w:trPr>
          <w:trHeight w:val="620" w:hRule="atLeast"/>
        </w:trPr>
        <w:tc>
          <w:tcPr>
            <w:tcW w:type="dxa" w:w="3400"/>
            <w:tcBorders>
              <w:top w:val="single" w:color="BFC5CC" w:sz="4"/>
              <w:left w:val="single" w:color="BFC5CC" w:sz="4"/>
              <w:bottom w:val="single" w:color="BFC5CC" w:sz="4"/>
              <w:right w:val="single" w:color="BFC5CC" w:sz="4"/>
            </w:tcBorders>
            <w:shd w:fill="FBE9E7" w:color="auto" w:val="clear"/>
            <w:tcMar>
              <w:top w:type="dxa" w:w="80"/>
              <w:left w:type="dxa" w:w="110"/>
              <w:bottom w:type="dxa" w:w="80"/>
              <w:right w:type="dxa" w:w="110"/>
            </w:tcMar>
          </w:tcPr>
          <w:p>
            <w:pPr>
              <w:spacing w:after="20"/>
            </w:pPr>
            <w:r>
              <w:rPr>
                <w:rFonts w:ascii="Arial" w:cs="Arial" w:eastAsia="Arial" w:hAnsi="Arial"/>
                <w:b/>
                <w:bCs/>
                <w:color w:val="B03A2E"/>
                <w:sz w:val="19"/>
                <w:szCs w:val="19"/>
              </w:rPr>
              <w:t xml:space="preserve">Welk argument van een andere hoek raakte mij?</w:t>
            </w:r>
          </w:p>
        </w:tc>
        <w:tc>
          <w:tcPr>
            <w:tcW w:type="dxa" w:w="65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r>
    </w:tbl>
    <w:p>
      <w:pPr>
        <w:keepNext/>
        <w:pBdr>
          <w:bottom w:val="single" w:color="5B2D8E" w:sz="8" w:space="2"/>
        </w:pBdr>
        <w:spacing w:after="90" w:before="200"/>
      </w:pPr>
      <w:r>
        <w:rPr>
          <w:rFonts w:ascii="Arial" w:cs="Arial" w:eastAsia="Arial" w:hAnsi="Arial"/>
          <w:b/>
          <w:bCs/>
          <w:color w:val="5B2D8E"/>
          <w:spacing w:val="30"/>
          <w:sz w:val="20"/>
          <w:szCs w:val="20"/>
        </w:rPr>
        <w:t xml:space="preserve">REFLECTIE</w:t>
      </w:r>
    </w:p>
    <w:p>
      <w:pPr>
        <w:keepNext/>
        <w:spacing w:after="50" w:before="90" w:line="264"/>
      </w:pPr>
      <w:r>
        <w:rPr>
          <w:rFonts w:ascii="Arial" w:cs="Arial" w:eastAsia="Arial" w:hAnsi="Arial"/>
          <w:b/>
          <w:bCs/>
          <w:color w:val="FFFFFF"/>
          <w:sz w:val="17"/>
          <w:szCs w:val="17"/>
          <w:shd w:fill="C97F0A" w:color="auto" w:val="clear"/>
        </w:rPr>
        <w:t xml:space="preserve"> VOELEN </w:t>
      </w:r>
      <w:r>
        <w:rPr>
          <w:rFonts w:ascii="Arial" w:cs="Arial" w:eastAsia="Arial" w:hAnsi="Arial"/>
          <w:sz w:val="20"/>
          <w:szCs w:val="20"/>
        </w:rPr>
        <w:t xml:space="preserve">  Wat voelde je toen je koos, en wat zegt dat over wat jou raakt?</w:t>
      </w:r>
    </w:p>
    <w:p>
      <w:pPr>
        <w:pBdr>
          <w:bottom w:val="single" w:color="C9CED4" w:sz="4" w:space="1"/>
        </w:pBdr>
        <w:spacing w:after="0" w:before="0" w:line="340" w:lineRule="exact"/>
        <w:ind w:right="0"/>
      </w:pPr>
      <w:r>
        <w:rPr>
          <w:rFonts w:ascii="Arial" w:cs="Arial" w:eastAsia="Arial" w:hAnsi="Arial"/>
          <w:sz w:val="21"/>
          <w:szCs w:val="21"/>
        </w:rPr>
        <w:t xml:space="preserve"/>
      </w:r>
    </w:p>
    <w:p>
      <w:pPr>
        <w:pBdr>
          <w:bottom w:val="single" w:color="C9CED4" w:sz="4" w:space="1"/>
        </w:pBdr>
        <w:spacing w:after="0" w:before="0" w:line="340" w:lineRule="exact"/>
        <w:ind w:right="2"/>
      </w:pPr>
      <w:r>
        <w:rPr>
          <w:rFonts w:ascii="Arial" w:cs="Arial" w:eastAsia="Arial" w:hAnsi="Arial"/>
          <w:sz w:val="21"/>
          <w:szCs w:val="21"/>
        </w:rPr>
        <w:t xml:space="preserve"/>
      </w:r>
    </w:p>
    <w:p>
      <w:pPr>
        <w:keepNext/>
        <w:spacing w:after="50" w:before="90" w:line="264"/>
      </w:pPr>
      <w:r>
        <w:rPr>
          <w:rFonts w:ascii="Arial" w:cs="Arial" w:eastAsia="Arial" w:hAnsi="Arial"/>
          <w:b/>
          <w:bCs/>
          <w:color w:val="FFFFFF"/>
          <w:sz w:val="17"/>
          <w:szCs w:val="17"/>
          <w:shd w:fill="D4537E" w:color="auto" w:val="clear"/>
        </w:rPr>
        <w:t xml:space="preserve"> WEGEN </w:t>
      </w:r>
      <w:r>
        <w:rPr>
          <w:rFonts w:ascii="Arial" w:cs="Arial" w:eastAsia="Arial" w:hAnsi="Arial"/>
          <w:sz w:val="20"/>
          <w:szCs w:val="20"/>
        </w:rPr>
        <w:t xml:space="preserve">  Van hoek gewisseld? Welk argument gaf de doorslag?</w:t>
      </w:r>
    </w:p>
    <w:p>
      <w:pPr>
        <w:pBdr>
          <w:bottom w:val="single" w:color="C9CED4" w:sz="4" w:space="1"/>
        </w:pBdr>
        <w:spacing w:after="0" w:before="0" w:line="340" w:lineRule="exact"/>
        <w:ind w:right="0"/>
      </w:pPr>
      <w:r>
        <w:rPr>
          <w:rFonts w:ascii="Arial" w:cs="Arial" w:eastAsia="Arial" w:hAnsi="Arial"/>
          <w:sz w:val="21"/>
          <w:szCs w:val="21"/>
        </w:rPr>
        <w:t xml:space="preserve"/>
      </w:r>
    </w:p>
    <w:p>
      <w:pPr>
        <w:pBdr>
          <w:bottom w:val="single" w:color="C9CED4" w:sz="4" w:space="1"/>
        </w:pBdr>
        <w:spacing w:after="0" w:before="0" w:line="340" w:lineRule="exact"/>
        <w:ind w:right="2"/>
      </w:pPr>
      <w:r>
        <w:rPr>
          <w:rFonts w:ascii="Arial" w:cs="Arial" w:eastAsia="Arial" w:hAnsi="Arial"/>
          <w:sz w:val="21"/>
          <w:szCs w:val="21"/>
        </w:rPr>
        <w:t xml:space="preserve"/>
      </w:r>
    </w:p>
    <w:sectPr>
      <w:headerReference w:type="default" r:id="rId7"/>
      <w:footerReference w:type="default" r:id="rId8"/>
      <w:pgSz w:w="11906" w:h="16838" w:orient="portrait"/>
      <w:pgMar w:top="1250" w:right="1000" w:bottom="900" w:left="1000" w:header="50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5CC" w:sz="4" w:space="4"/>
      </w:pBdr>
      <w:spacing w:before="60"/>
    </w:pPr>
    <w:r>
      <w:rPr>
        <w:rFonts w:ascii="Arial" w:cs="Arial" w:eastAsia="Arial" w:hAnsi="Arial"/>
        <w:i/>
        <w:iCs/>
        <w:color w:val="5F5E5A"/>
        <w:sz w:val="14"/>
        <w:szCs w:val="14"/>
      </w:rPr>
      <w:t xml:space="preserve">Werkvorm: vier hoeken (algemeen didactisch repertoire; geen eigenaar). Uitwerking en casus: Moreel Vakmanschap, moreelvakmanschap.nl. Licentie: CC BY-SA 4.0 – https://creativecommons.org/licenses/by-sa/4.0/deed.nl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906"/>
      </w:tabs>
      <w:spacing w:after="60"/>
    </w:pPr>
    <w:r>
      <w:rPr>
        <w:rFonts w:ascii="Arial" w:cs="Arial" w:eastAsia="Arial" w:hAnsi="Arial"/>
        <w:b/>
        <w:bCs/>
        <w:color w:val="5F5E5A"/>
        <w:spacing w:val="20"/>
        <w:sz w:val="15"/>
        <w:szCs w:val="15"/>
      </w:rPr>
      <w:t xml:space="preserve">MOREEL VAKMANSCHAP · LECTORAAT ETHISCH WERKEN · WERKBLAD</w:t>
    </w:r>
    <w:r>
      <w:rPr>
        <w:rFonts w:ascii="Arial" w:cs="Arial" w:eastAsia="Arial" w:hAnsi="Arial"/>
      </w:rPr>
      <w:tab/>
    </w:r>
    <w:r>
      <w:drawing>
        <wp:inline distT="0" distB="0" distL="0" distR="0">
          <wp:extent cx="838200" cy="476250"/>
          <wp:effectExtent t="0" r="0" b="0" l="0"/>
          <wp:docPr id="1" name="logo" descr="Fontys logo" title="Font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38200" cy="4762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400"/>
      </w:pPr>
      <w:rPr>
        <w:rFonts w:ascii="Arial" w:cs="Arial" w:eastAsia="Arial" w:hAnsi="Arial"/>
        <w:b/>
        <w:bCs/>
        <w:color w:val="5B2D8E"/>
      </w:rPr>
    </w:lvl>
  </w:abstractNum>
  <w:abstractNum w:abstractNumId="3" w15:restartNumberingAfterBreak="0">
    <w:multiLevelType w:val="hybridMultilevel"/>
    <w:lvl w:ilvl="0" w15:tentative="1">
      <w:start w:val="1"/>
      <w:numFmt w:val="bullet"/>
      <w:lvlText w:val="•"/>
      <w:lvlJc w:val="left"/>
      <w:pPr>
        <w:ind w:left="360" w:hanging="260"/>
      </w:pPr>
      <w:rPr>
        <w:rFonts w:ascii="Arial" w:cs="Arial" w:eastAsia="Arial" w:hAnsi="Arial"/>
        <w:color w:val="5B2D8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d5b64f3c8c090bc189dffdf63f20e143f8e5aad.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bf0743bdfa2aebd701f32a08f734a4287c2ee9cc.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MW24 De taxibon van Henk (HBO HRM, NL)</dc:title>
  <dc:creator>Moreel Vakmanschap</dc:creator>
  <cp:lastModifiedBy>Un-named</cp:lastModifiedBy>
  <cp:revision>1</cp:revision>
  <dcterms:created xsi:type="dcterms:W3CDTF">2026-09-30T10:57:58.109Z</dcterms:created>
  <dcterms:modified xsi:type="dcterms:W3CDTF">2026-09-30T10:57:58.109Z</dcterms:modified>
</cp:coreProperties>
</file>

<file path=docProps/custom.xml><?xml version="1.0" encoding="utf-8"?>
<Properties xmlns="http://schemas.openxmlformats.org/officeDocument/2006/custom-properties" xmlns:vt="http://schemas.openxmlformats.org/officeDocument/2006/docPropsVTypes"/>
</file>