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p>
    <w:tbl>
      <w:tblPr>
        <w:tblW w:type="dxa" w:w="9360"/>
        <w:tblBorders>
          <w:top w:val="none"/>
          <w:left w:val="none"/>
          <w:bottom w:val="none"/>
          <w:right w:val="none"/>
          <w:insideH w:val="single" w:color="auto" w:sz="4"/>
          <w:insideV w:val="single" w:color="auto" w:sz="4"/>
        </w:tblBorders>
      </w:tblPr>
      <w:tblGrid>
        <w:gridCol w:w="2700"/>
        <w:gridCol w:w="1800"/>
        <w:gridCol w:w="3060"/>
        <w:gridCol w:w="1800"/>
      </w:tblGrid>
      <w:tr>
        <w:tc>
          <w:tcPr>
            <w:tcW w:type="dxa" w:w="27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Naam</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Datum</w:t>
            </w:r>
          </w:p>
          <w:p>
            <w:pPr>
              <w:pBdr>
                <w:bottom w:val="single" w:color="1A1A1A" w:sz="4"/>
              </w:pBdr>
              <w:spacing w:after="40"/>
            </w:pPr>
            <w:r>
              <w:rPr>
                <w:rFonts w:ascii="Arial" w:cs="Arial" w:eastAsia="Arial" w:hAnsi="Arial"/>
                <w:sz w:val="20"/>
                <w:szCs w:val="20"/>
              </w:rPr>
              <w:t xml:space="preserve">   </w:t>
            </w:r>
          </w:p>
        </w:tc>
        <w:tc>
          <w:tcPr>
            <w:tcW w:type="dxa" w:w="306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Opleiding</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Klas / Groep</w:t>
            </w:r>
          </w:p>
          <w:p>
            <w:pPr>
              <w:pBdr>
                <w:bottom w:val="single" w:color="1A1A1A" w:sz="4"/>
              </w:pBdr>
              <w:spacing w:after="40"/>
            </w:pPr>
            <w:r>
              <w:rPr>
                <w:rFonts w:ascii="Arial" w:cs="Arial" w:eastAsia="Arial" w:hAnsi="Arial"/>
                <w:sz w:val="20"/>
                <w:szCs w:val="20"/>
              </w:rPr>
              <w:t xml:space="preserve">   </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8"/>
              <w:bottom w:val="none"/>
              <w:right w:val="none"/>
            </w:tcBorders>
            <w:shd w:fill="F4F4F4" w:val="clear"/>
            <w:tcMar>
              <w:top w:type="dxa" w:w="120"/>
              <w:left w:type="dxa" w:w="200"/>
              <w:bottom w:type="dxa" w:w="120"/>
              <w:right w:type="dxa" w:w="200"/>
            </w:tcMar>
          </w:tcPr>
          <w:p>
            <w:r>
              <w:rPr>
                <w:rFonts w:ascii="Arial" w:cs="Arial" w:eastAsia="Arial" w:hAnsi="Arial"/>
                <w:b/>
                <w:bCs/>
                <w:color w:val="1A1A1A"/>
                <w:sz w:val="26"/>
                <w:szCs w:val="26"/>
              </w:rPr>
              <w:t xml:space="preserve">Model Interculturele Competenties</w:t>
            </w:r>
          </w:p>
          <w:p>
            <w:r>
              <w:rPr>
                <w:rFonts w:ascii="Arial" w:cs="Arial" w:eastAsia="Arial" w:hAnsi="Arial"/>
                <w:i/>
                <w:iCs/>
                <w:color w:val="666666"/>
                <w:sz w:val="18"/>
                <w:szCs w:val="18"/>
              </w:rPr>
              <w:t xml:space="preserve">Kennis · Heilige huisjes · Perspectief wisselen</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Het model — vier elementen</w:t>
            </w:r>
          </w:p>
        </w:tc>
      </w:tr>
    </w:tbl>
    <w:p>
      <w:pPr>
        <w:spacing w:after="120" w:before="0"/>
      </w:pPr>
    </w:p>
    <w:p>
      <w:pPr>
        <w:spacing w:after="80" w:before="80"/>
      </w:pPr>
      <w:r>
        <w:rPr>
          <w:rFonts w:ascii="Arial" w:cs="Arial" w:eastAsia="Arial" w:hAnsi="Arial"/>
          <w:i w:val="false"/>
          <w:iCs w:val="false"/>
          <w:color w:val="1A1A1A"/>
          <w:sz w:val="20"/>
          <w:szCs w:val="20"/>
        </w:rPr>
        <w:t xml:space="preserve">Dit model helpt de kloof tussen verschillende culturele achtergronden te overbruggen. Het richt zich niet alleen op het leren over de "ander", maar juist op zelfreflectie en de dynamiek tussen twee mensen.</w:t>
      </w:r>
    </w:p>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Element 1 — Kennis van je eigen culturele en historische bagage</w:t>
            </w:r>
          </w:p>
        </w:tc>
      </w:tr>
    </w:tbl>
    <w:p>
      <w:pPr>
        <w:spacing w:after="80" w:before="0"/>
      </w:pPr>
    </w:p>
    <w:p>
      <w:pPr>
        <w:spacing w:after="80" w:before="80"/>
      </w:pPr>
      <w:r>
        <w:rPr>
          <w:rFonts w:ascii="Arial" w:cs="Arial" w:eastAsia="Arial" w:hAnsi="Arial"/>
          <w:i w:val="false"/>
          <w:iCs w:val="false"/>
          <w:color w:val="1A1A1A"/>
          <w:sz w:val="20"/>
          <w:szCs w:val="20"/>
        </w:rPr>
        <w:t xml:space="preserve">Dit is het vertrekpunt. Je moet begrijpen welke "bril" je zelf op hebt. Welke waarden, normen en geschiedenis hebben jouw wereldbeeld gevormd? Zonder dit besef projecteer je jouw eigen logica onbewust op de ander als de "enige juiste" manier.</w:t>
      </w:r>
    </w:p>
    <w:p>
      <w:pPr>
        <w:spacing w:after="14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Element 2 — Kennis van de vreemde ander</w:t>
            </w:r>
          </w:p>
        </w:tc>
      </w:tr>
    </w:tbl>
    <w:p>
      <w:pPr>
        <w:spacing w:after="80" w:before="0"/>
      </w:pPr>
    </w:p>
    <w:p>
      <w:pPr>
        <w:spacing w:after="80" w:before="80"/>
      </w:pPr>
      <w:r>
        <w:rPr>
          <w:rFonts w:ascii="Arial" w:cs="Arial" w:eastAsia="Arial" w:hAnsi="Arial"/>
          <w:i w:val="false"/>
          <w:iCs w:val="false"/>
          <w:color w:val="1A1A1A"/>
          <w:sz w:val="20"/>
          <w:szCs w:val="20"/>
        </w:rPr>
        <w:t xml:space="preserve">Dit gaat over oprechte nieuwsgierigheid en feitelijke kennis. Wat zijn de gebruiken, de geschiedenis en de communicatiestijlen van de persoon tegenover je? Het doel is niet stereotyperen, maar de context van de ander beter begrijpen.</w:t>
      </w:r>
    </w:p>
    <w:p>
      <w:pPr>
        <w:spacing w:after="14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Element 3 — Kennis van je heilige huisjes</w:t>
            </w:r>
          </w:p>
        </w:tc>
      </w:tr>
    </w:tbl>
    <w:p>
      <w:pPr>
        <w:spacing w:after="80" w:before="0"/>
      </w:pPr>
    </w:p>
    <w:p>
      <w:pPr>
        <w:spacing w:after="80" w:before="80"/>
      </w:pPr>
      <w:r>
        <w:rPr>
          <w:rFonts w:ascii="Arial" w:cs="Arial" w:eastAsia="Arial" w:hAnsi="Arial"/>
          <w:i w:val="false"/>
          <w:iCs w:val="false"/>
          <w:color w:val="1A1A1A"/>
          <w:sz w:val="20"/>
          <w:szCs w:val="20"/>
        </w:rPr>
        <w:t xml:space="preserve">Dit is de kern van het model. Heilige huisjes zijn overtuigingen of waarden die voor jou zo fundamenteel zijn dat ze niet onderhandelbaar voelen — denk aan autonomie, hiërarchie of specifieke omgangsvormen. Door te weten waar jouw grenzen en "triggers" liggen, voorkom je dat een gesprek blokkeert wanneer deze geraakt worden.</w:t>
      </w:r>
    </w:p>
    <w:p>
      <w:pPr>
        <w:spacing w:after="14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Element 4 — Perspectief wisselen</w:t>
            </w:r>
          </w:p>
        </w:tc>
      </w:tr>
    </w:tbl>
    <w:p>
      <w:pPr>
        <w:spacing w:after="80" w:before="0"/>
      </w:pPr>
    </w:p>
    <w:p>
      <w:pPr>
        <w:spacing w:after="80" w:before="80"/>
      </w:pPr>
      <w:r>
        <w:rPr>
          <w:rFonts w:ascii="Arial" w:cs="Arial" w:eastAsia="Arial" w:hAnsi="Arial"/>
          <w:i w:val="false"/>
          <w:iCs w:val="false"/>
          <w:color w:val="1A1A1A"/>
          <w:sz w:val="20"/>
          <w:szCs w:val="20"/>
        </w:rPr>
        <w:t xml:space="preserve">Dit is de actieve beweging. Kun je de situatie bekijken door de ogen van de ander zonder je eigen waarden direct op te geven? Het is het vermogen om heen en weer te pendelen tussen jouw kader en dat van de ander — om tot een gezamenlijk werkbare ruimte te komen.</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Het model in de praktijk</w:t>
            </w:r>
          </w:p>
        </w:tc>
      </w:tr>
    </w:tbl>
    <w:p>
      <w:pPr>
        <w:spacing w:after="120" w:before="0"/>
      </w:pPr>
    </w:p>
    <w:p>
      <w:pPr>
        <w:spacing w:after="80" w:before="80"/>
      </w:pPr>
      <w:r>
        <w:rPr>
          <w:rFonts w:ascii="Arial" w:cs="Arial" w:eastAsia="Arial" w:hAnsi="Arial"/>
          <w:i w:val="false"/>
          <w:iCs w:val="false"/>
          <w:color w:val="1A1A1A"/>
          <w:sz w:val="20"/>
          <w:szCs w:val="20"/>
        </w:rPr>
        <w:t xml:space="preserve">Je kunt dit model inzetten als reflectie-instrument vóór, tijdens of na een interculturele ontmoeting:</w:t>
      </w:r>
    </w:p>
    <w:p>
      <w:pPr>
        <w:spacing w:after="80" w:before="0"/>
      </w:pPr>
    </w:p>
    <w:p>
      <w:pPr>
        <w:pStyle w:val="ListParagraph"/>
        <w:numPr>
          <w:ilvl w:val="0"/>
          <w:numId w:val="2"/>
        </w:numPr>
        <w:spacing w:after="40" w:before="40"/>
      </w:pPr>
      <w:r>
        <w:rPr>
          <w:rFonts w:ascii="Arial" w:cs="Arial" w:eastAsia="Arial" w:hAnsi="Arial"/>
          <w:color w:val="1A1A1A"/>
          <w:sz w:val="20"/>
          <w:szCs w:val="20"/>
        </w:rPr>
        <w:t xml:space="preserve">In de voorbereiding: "Wat is mijn aanname over deze persoon (element 2) en welk eigen principe kan hier botsen met hun gedrag (element 3)?"</w:t>
      </w:r>
    </w:p>
    <w:p>
      <w:pPr>
        <w:pStyle w:val="ListParagraph"/>
        <w:numPr>
          <w:ilvl w:val="0"/>
          <w:numId w:val="2"/>
        </w:numPr>
        <w:spacing w:after="40" w:before="40"/>
      </w:pPr>
      <w:r>
        <w:rPr>
          <w:rFonts w:ascii="Arial" w:cs="Arial" w:eastAsia="Arial" w:hAnsi="Arial"/>
          <w:color w:val="1A1A1A"/>
          <w:sz w:val="20"/>
          <w:szCs w:val="20"/>
        </w:rPr>
        <w:t xml:space="preserve">Tijdens een gesprek: als er irritatie ontstaat, pauzeer dan mentaal. Check of je een heilig huisje voelt trillen en ga bewust naar element 4.</w:t>
      </w:r>
    </w:p>
    <w:p>
      <w:pPr>
        <w:pStyle w:val="ListParagraph"/>
        <w:numPr>
          <w:ilvl w:val="0"/>
          <w:numId w:val="2"/>
        </w:numPr>
        <w:spacing w:after="40" w:before="40"/>
      </w:pPr>
      <w:r>
        <w:rPr>
          <w:rFonts w:ascii="Arial" w:cs="Arial" w:eastAsia="Arial" w:hAnsi="Arial"/>
          <w:color w:val="1A1A1A"/>
          <w:sz w:val="20"/>
          <w:szCs w:val="20"/>
        </w:rPr>
        <w:t xml:space="preserve">Als teaminstrument: gebruik het om casuïstiek te bespreken — analyseer de interactie in plaats van het gedrag van de ander als probleem te benoemen.</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Reflectie- en toepassingsopdrachten</w:t>
            </w:r>
          </w:p>
        </w:tc>
      </w:tr>
    </w:tbl>
    <w:p>
      <w:pPr>
        <w:spacing w:after="80" w:before="0"/>
      </w:pPr>
    </w:p>
    <w:p>
      <w:pPr>
        <w:spacing w:after="120" w:before="60"/>
      </w:pPr>
      <w:r>
        <w:rPr>
          <w:rFonts w:ascii="Arial" w:cs="Arial" w:eastAsia="Arial" w:hAnsi="Arial"/>
          <w:i/>
          <w:iCs/>
          <w:color w:val="666666"/>
          <w:sz w:val="18"/>
          <w:szCs w:val="18"/>
        </w:rPr>
        <w:t xml:space="preserve">Werk de opdrachten hieronder individueel uit. Gebruik een situatie uit je stage of werk.</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O1</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Mijn eigen bagage (element 1)</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drie waarden of overtuigingen uit jouw opvoeding beïnvloeden het sterkst hoe jij naar anderen kijkt? Geef per waarde een concreet voorbeeld.</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O2</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Mijn heilige huisjes (element 3)</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overtuigingen van jou zijn zo fundamenteel dat ze "niet onderhandelbaar" voelen? In welke situaties merk je dat ze worden geraakt?</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O3</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Perspectief wisselen in de praktijk (element 4)</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Beschrijf een situatie waarin jij bewust probeerde te kijken door de ogen van de ander. Wat was moeilijk? Wat leerde je?</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O4</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Casus — intercultureel spanningsmoment</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Beschrijf een situatie (stage, werk of privé) waarin een cultureel verschil tot spanning leidde. Analyseer de situatie aan de hand van de vier elementen van het model.</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BBBBBB" w:sz="4"/>
              <w:left w:val="none"/>
              <w:bottom w:val="single" w:color="BBBBBB" w:sz="4"/>
              <w:right w:val="none"/>
            </w:tcBorders>
            <w:shd w:fill="F0F0F0" w:val="clear"/>
            <w:tcMar>
              <w:top w:type="dxa" w:w="120"/>
              <w:left w:type="dxa" w:w="200"/>
              <w:bottom w:type="dxa" w:w="120"/>
              <w:right w:type="dxa" w:w="200"/>
            </w:tcMar>
          </w:tcPr>
          <w:p>
            <w:r>
              <w:rPr>
                <w:rFonts w:ascii="Arial" w:cs="Arial" w:eastAsia="Arial" w:hAnsi="Arial"/>
                <w:b/>
                <w:bCs/>
                <w:color w:val="666666"/>
                <w:sz w:val="18"/>
                <w:szCs w:val="18"/>
              </w:rPr>
              <w:t xml:space="preserve">Notitie voor de docent</w:t>
            </w:r>
          </w:p>
          <w:p>
            <w:pPr>
              <w:spacing w:after="60" w:before="0"/>
            </w:pPr>
          </w:p>
          <w:p>
            <w:r>
              <w:rPr>
                <w:rFonts w:ascii="Arial" w:cs="Arial" w:eastAsia="Arial" w:hAnsi="Arial"/>
                <w:i/>
                <w:iCs/>
                <w:color w:val="666666"/>
                <w:sz w:val="18"/>
                <w:szCs w:val="18"/>
              </w:rPr>
              <w:t xml:space="preserve">Dit model is bruikbaar als individueel reflectie-instrument én als gesprekshandvat in groepen. Stimuleer studenten om element 3 (heilige huisjes) te benoemen zonder zich te verontschuldigen — bewustzijn is het doel, niet zelfkritiek.</w:t>
            </w:r>
          </w:p>
        </w:tc>
      </w:tr>
    </w:tbl>
    <w:p>
      <w:pPr>
        <w:spacing w:after="120" w:before="0"/>
      </w:pPr>
    </w:p>
    <w:p>
      <w:pPr>
        <w:spacing w:after="100" w:before="0"/>
      </w:pPr>
    </w:p>
    <w:p>
      <w:pPr>
        <w:jc w:val="center"/>
      </w:pPr>
      <w:r>
        <w:rPr>
          <w:rFonts w:ascii="Arial" w:cs="Arial" w:eastAsia="Arial" w:hAnsi="Arial"/>
          <w:color w:val="BBBBBB"/>
          <w:sz w:val="16"/>
          <w:szCs w:val="16"/>
        </w:rPr>
        <w:t xml:space="preserve">© Fontys Hogescholen — Lectoraat Ethisch Werken — Reeks Moreel Vakmanschap</w:t>
      </w:r>
    </w:p>
    <w:sectPr>
      <w:headerReference w:type="default" r:id="rId7"/>
      <w:footerReference w:type="default" r:id="rId8"/>
      <w:pgSz w:w="11906" w:h="16838" w:orient="portrait"/>
      <w:pgMar w:top="16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360"/>
      </w:tabs>
      <w:spacing w:before="80"/>
    </w:pPr>
    <w:r>
      <w:rPr>
        <w:rFonts w:ascii="Arial" w:cs="Arial" w:eastAsia="Arial" w:hAnsi="Arial"/>
        <w:color w:val="666666"/>
        <w:sz w:val="16"/>
        <w:szCs w:val="16"/>
      </w:rPr>
      <w:t xml:space="preserve">Moreel Vakmanschap — Model Interculturele Competenties</w:t>
    </w:r>
    <w:r>
      <w:rPr>
        <w:rFonts w:ascii="Arial" w:cs="Arial" w:eastAsia="Arial" w:hAnsi="Arial"/>
        <w:color w:val="BBBBBB"/>
        <w:sz w:val="16"/>
        <w:szCs w:val="16"/>
      </w:rPr>
      <w:t xml:space="preserve">	© Fontys Lectoraat Ethisch Werken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2100"/>
      <w:gridCol w:w="5560"/>
      <w:gridCol w:w="1700"/>
    </w:tblGrid>
    <w:tr>
      <w:tc>
        <w:tcPr>
          <w:tcW w:type="dxa" w:w="2100"/>
          <w:tcBorders>
            <w:top w:val="none"/>
            <w:left w:val="none"/>
            <w:bottom w:val="none"/>
            <w:right w:val="none"/>
          </w:tcBorders>
          <w:tcMar>
            <w:top w:type="dxa" w:w="0"/>
            <w:left w:type="dxa" w:w="0"/>
            <w:bottom w:type="dxa" w:w="0"/>
            <w:right w:type="dxa" w:w="160"/>
          </w:tcMar>
          <w:vAlign w:val="center"/>
        </w:tcPr>
        <w:p>
          <w:r>
            <w:rPr>
              <w:rFonts w:ascii="Arial" w:cs="Arial" w:eastAsia="Arial" w:hAnsi="Arial"/>
              <w:color w:val="666666"/>
              <w:sz w:val="16"/>
              <w:szCs w:val="16"/>
            </w:rPr>
            <w:t xml:space="preserve">Fontys Lectoraat</w:t>
          </w:r>
        </w:p>
        <w:p>
          <w:r>
            <w:rPr>
              <w:rFonts w:ascii="Arial" w:cs="Arial" w:eastAsia="Arial" w:hAnsi="Arial"/>
              <w:b/>
              <w:bCs/>
              <w:color w:val="1A1A1A"/>
              <w:sz w:val="16"/>
              <w:szCs w:val="16"/>
            </w:rPr>
            <w:t xml:space="preserve">Ethisch Werken</w:t>
          </w:r>
        </w:p>
      </w:tc>
      <w:tc>
        <w:tcPr>
          <w:tcW w:type="dxa" w:w="5560"/>
          <w:tcBorders>
            <w:top w:val="none"/>
            <w:left w:val="none"/>
            <w:bottom w:val="none"/>
            <w:right w:val="single" w:color="1A1A1A" w:sz="8"/>
          </w:tcBorders>
          <w:tcMar>
            <w:top w:type="dxa" w:w="0"/>
            <w:left w:type="dxa" w:w="160"/>
            <w:bottom w:type="dxa" w:w="0"/>
            <w:right w:type="dxa" w:w="160"/>
          </w:tcMar>
          <w:vAlign w:val="center"/>
        </w:tcPr>
        <w:p>
          <w:pPr>
            <w:jc w:val="right"/>
          </w:pPr>
          <w:r>
            <w:rPr>
              <w:rFonts w:ascii="Arial" w:cs="Arial" w:eastAsia="Arial" w:hAnsi="Arial"/>
              <w:b/>
              <w:bCs/>
              <w:color w:val="1A1A1A"/>
              <w:sz w:val="22"/>
              <w:szCs w:val="22"/>
            </w:rPr>
            <w:t xml:space="preserve">Model Interculturele Competenties</w:t>
          </w:r>
        </w:p>
        <w:p>
          <w:pPr>
            <w:jc w:val="right"/>
          </w:pPr>
          <w:r>
            <w:rPr>
              <w:rFonts w:ascii="Arial" w:cs="Arial" w:eastAsia="Arial" w:hAnsi="Arial"/>
              <w:color w:val="666666"/>
              <w:sz w:val="18"/>
              <w:szCs w:val="18"/>
            </w:rPr>
            <w:t xml:space="preserve">Moreel Vakmanschap</w:t>
          </w:r>
        </w:p>
      </w:tc>
      <w:tc>
        <w:tcPr>
          <w:tcW w:type="dxa" w:w="1700"/>
          <w:tcBorders>
            <w:top w:val="none"/>
            <w:left w:val="none"/>
            <w:bottom w:val="none"/>
            <w:right w:val="none"/>
          </w:tcBorders>
          <w:tcMar>
            <w:top w:type="dxa" w:w="0"/>
            <w:left w:type="dxa" w:w="160"/>
            <w:bottom w:type="dxa" w:w="0"/>
            <w:right w:type="dxa" w:w="0"/>
          </w:tcMar>
          <w:vAlign w:val="center"/>
        </w:tcPr>
        <w:p>
          <w:pPr>
            <w:jc w:val="right"/>
          </w:pPr>
          <w:r>
            <w:drawing>
              <wp:inline distT="0" distB="0" distL="0" distR="0">
                <wp:extent cx="8572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tc>
    </w:tr>
  </w:tbl>
  <w:p>
    <w:pPr>
      <w:pBdr>
        <w:bottom w:val="single" w:color="1A1A1A"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d5df8f0db22d65d7c0057ce164207a24361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2026-05-27T20:39:57.608Z</dcterms:created>
  <dcterms:modified xsi:type="dcterms:W3CDTF">2026-05-27T20:39:57.608Z</dcterms:modified>
</cp:coreProperties>
</file>

<file path=docProps/custom.xml><?xml version="1.0" encoding="utf-8"?>
<Properties xmlns="http://schemas.openxmlformats.org/officeDocument/2006/custom-properties" xmlns:vt="http://schemas.openxmlformats.org/officeDocument/2006/docPropsVTypes"/>
</file>