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WERK</w:t>
      </w:r>
    </w:p>
    <w:p>
      <w:r>
        <w:rPr>
          <w:b/>
          <w:color w:val="993556"/>
        </w:rPr>
        <w:t>★☆☆ Micro — persoonlijke keuze</w:t>
      </w:r>
    </w:p>
    <w:p>
      <w:r>
        <w:rPr>
          <w:b/>
          <w:sz w:val="32"/>
        </w:rPr>
        <w:t>De weggenomen kantoorspullen</w:t>
      </w:r>
    </w:p>
    <w:p>
      <w:pPr>
        <w:spacing w:after="240"/>
      </w:pPr>
      <w:r>
        <w:t>Thomas ziet zijn collega Bas aan het einde van de dag een pak printerpapier en een nieuwe muis in zijn tas stoppen. Niemand anders let op. Bas werkt al twaalf jaar op de afdeling en geldt als onmisbaar; hij regelt altijd de roosters en springt bij wanneer iemand ziek is. Thomas twijfelt. Is dit diefstal, of gewoon een grijs gebied dat iedereen een beetje doet? Hij denkt aan de nieuwe collega die vorige maand werd aangesproken op een kapotte kopieerpas — een kleinigheid vergeleken met dit. Als hij het meldt, verstoort hij misschien de sfeer in het team voorgoed. Als hij zwijgt, voelt hij zich medeplichtig elke keer dat hij Bas ziet lachen bij het koffiezetapparaat. Meldt hij het bij zijn leidinggevende, spreekt hij Bas er zelf op aan, of doet hij niets?</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