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WORK</w:t>
      </w:r>
    </w:p>
    <w:p>
      <w:r>
        <w:rPr>
          <w:b/>
          <w:color w:val="993556"/>
        </w:rPr>
        <w:t>★★☆ Meso — organisational dilemma</w:t>
      </w:r>
    </w:p>
    <w:p>
      <w:r>
        <w:rPr>
          <w:b/>
          <w:sz w:val="32"/>
        </w:rPr>
        <w:t>For the sake of team spirit</w:t>
      </w:r>
    </w:p>
    <w:p>
      <w:pPr>
        <w:spacing w:after="240"/>
      </w:pPr>
      <w:r>
        <w:t>It's five o'clock on Friday afternoon and Youssef is grabbing his coat when team leader Marieke walks past. "Could you stay another hour? The report really has to be done, and it helps so much if we finish it now instead of Monday." She smiles: "Just for the good atmosphere, you know — we all do it sometimes." Youssef has already worked nine unpaid hours this quarter. His contract will be renewed or not in six weeks, and Marieke is part of that decision. His partner is already waiting with dinner. He feels the tension between his own boundaries and the impression he leaves with the person who decides his future. Does he refuse this time, or stay again so he doesn't put his job at risk?</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