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SOCIAL MEDIA</w:t>
      </w:r>
    </w:p>
    <w:p>
      <w:r>
        <w:rPr>
          <w:b/>
          <w:color w:val="993556"/>
        </w:rPr>
        <w:t>★☆☆ Micro — persoonlijke keuze</w:t>
      </w:r>
    </w:p>
    <w:p>
      <w:r>
        <w:rPr>
          <w:b/>
          <w:sz w:val="32"/>
        </w:rPr>
        <w:t>De groepsapp</w:t>
      </w:r>
    </w:p>
    <w:p>
      <w:pPr>
        <w:spacing w:after="240"/>
      </w:pPr>
      <w:r>
        <w:t>Om 23:40 uur licht Femkes telefoon op. In de klassengroepsapp verschijnen steeds meer berichten over Julian — screenshots van zijn slechte proefwerkcijfer, een bewerkte foto met een belachelijk onderschrift, tientallen lachende emoji's. Femke leest mee, typt niets. Ze kent Julian nauwelijks, maar ziet hoe drie klasgenoten, onder wie haar beste vriendin, actief meedoen. Als ze iets zegt, richt de aandacht zich misschien op haar. Als ze zwijgt, blijft het bericht staan tot morgenochtend, wanneer de hele klas het gezien heeft. Ze scrolt terug naar het eerste bericht en ziet dat niemand — geen leerkracht, geen ouder — dit gesprek kan zien. Grijpt Femke in, ook al kan ze daarmee zelf doelwit worden, of legt ze haar telefoon weg?</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