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De lege stoel achterin</w:t>
      </w:r>
    </w:p>
    <w:p>
      <w:pPr>
        <w:spacing w:after="240"/>
      </w:pPr>
      <w:r>
        <w:rPr>
          <w:color w:val="4A5568"/>
          <w:sz w:val="22"/>
        </w:rPr>
        <w:t>Mevrouw Peters ziet Ahmed vrijdagmiddag als laatste het klaslokaal verlaten, hoofd gebogen, rugzak dichtgeritst tegen zijn borst. Voor de derde keer deze maand vindt ze een prop papier op zijn tafel met een scheldwoord erop. Ze heeft de klas al twee keer toegesproken, een mentorgesprek gehouden, de ouders gebeld. Niets verandert. Ahmed spreekt bijna niet meer in de les, zijn cijfers zakken, en de klas doet alsof er niets aan de hand is. Vandaag zag ze twee jongens grinniken toen hij zijn tas pakte. Escaleert ze naar de zorgcoördinator en de ouders van de daders, met het risico dat het pesten ondergronds gaat en erger wordt? Of blijft ze het zelf proberen op te lossen, terwijl Ahmed intussen verder wegzakt? Ze kijkt naar de lege stoel achterin. Hoelang kan ze nog wachten?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