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The list in the staff room</w:t>
      </w:r>
    </w:p>
    <w:p>
      <w:pPr>
        <w:spacing w:after="240"/>
      </w:pPr>
      <w:r>
        <w:rPr>
          <w:color w:val="4A5568"/>
          <w:sz w:val="22"/>
        </w:rPr>
        <w:t>Mr Janssen sits in the staff room on Tuesday afternoon with class 4B's grade list open on his laptop. He compares colleague Vermeulen's marking with the rubrics: three of her favourite students consistently receive a point higher than their work justifies, while other, equally strong students stay at the average. A student commented recently: "It's not fair, is it, sir?" He knows: a report to the exam board could cost Vermeulen her assessment authority and seriously poison the team atmosphere. Staying silent means the inequality continues and students' trust in fair assessment erodes further. He closes his laptop and walks towards the corridor where Vermeulen's classroom is. Does he knock, or walk on?</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