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Het lijstje in de kantine</w:t>
      </w:r>
    </w:p>
    <w:p>
      <w:pPr>
        <w:spacing w:after="240"/>
      </w:pPr>
      <w:r>
        <w:rPr>
          <w:color w:val="4A5568"/>
          <w:sz w:val="22"/>
        </w:rPr>
        <w:t>Meneer Janssen zit dinsdagmiddag in de kantine met de cijferlijst van klas 4B open op zijn laptop. Hij vergelijkt het handschrift van collega Vermeulen met de rubrics: drie van haar favoriete leerlingen krijgen structureel een punt hoger dan hun werk rechtvaardigt, terwijl andere, net zo sterke, leerlingen op het gemiddelde blijven hangen. Een leerling maakte er laatst nog een opmerking over: "Het is toch niet eerlijk, meneer?" Hij weet: een melding bij de examencommissie kan Vermeulens beoordelingsbevoegdheid kosten en de sfeer in het team grondig verzieken. Zwijgen betekent dat de ongelijkheid doorgaat en het vertrouwen van leerlingen in eerlijke beoordeling verder afbrokkelt. Hij sluit zijn laptop en loopt richting de gang waar Vermeulens lokaal is. Klopt hij aan, of loopt hij door?</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