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EDUCATION</w:t>
      </w:r>
    </w:p>
    <w:p>
      <w:r>
        <w:rPr>
          <w:b/>
          <w:color w:val="993556"/>
        </w:rPr>
        <w:t>★★☆ Meso — organisational dilemma</w:t>
      </w:r>
    </w:p>
    <w:p>
      <w:r>
        <w:rPr>
          <w:b/>
          <w:color w:val="1A2744"/>
          <w:sz w:val="32"/>
        </w:rPr>
        <w:t>Ten minutes before the assessment</w:t>
      </w:r>
    </w:p>
    <w:p>
      <w:pPr>
        <w:spacing w:after="240"/>
      </w:pPr>
      <w:r>
        <w:rPr>
          <w:color w:val="4A5568"/>
          <w:sz w:val="22"/>
        </w:rPr>
        <w:t>At 08:50 Lisa stands crying in the doorway of the exam room, ten minutes before her resit. Last night she heard that her study friend Fem has died. She could have stayed home, but wanted to come at all costs — a missed attempt means waiting half a year for a new one, and she is already behind in her studies. The examiner sees a student who can barely finish a sentence, let alone an assessment form. The protocol is clear: whoever does not start must wait until the next round. But what is a "fair" result worth, administered to someone collapsing with grief? Allowing deferral outside the regulations can create precedents for other students in distress. The examiner looks at the clock. Does she let the assessment begin, or send Lisa home?</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