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Tien minuten voor het assessment</w:t>
      </w:r>
    </w:p>
    <w:p>
      <w:pPr>
        <w:spacing w:after="240"/>
      </w:pPr>
      <w:r>
        <w:rPr>
          <w:color w:val="4A5568"/>
          <w:sz w:val="22"/>
        </w:rPr>
        <w:t>Om 08:50 uur staat Lisa huilend in de deuropening van het toetslokaal, tien minuten voor haar herkansing. Gisteravond hoorde ze dat haar studievriendin Fem is overleden. Ze had thuis kunnen blijven, maar wilde koste wat het kost komen — een gemiste kans betekent een half jaar wachten op een nieuwe poging, en ze loopt al achter in haar studie. De examinator ziet een studente die nauwelijks een zin kan afmaken, laat staan een beoordelingsformulier. Het protocol is helder: wie niet start, moet wachten tot de volgende ronde. Maar wat is een "eerlijk" resultaat waard, afgenomen bij iemand die instort van verdriet? Uitstel toestaan buiten het reglement om kan precedenten scheppen voor andere studenten in nood. De examinator kijkt op de klok. Laat ze het assessment beginnen, of stuurt ze Lisa naar huis?</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