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Mr De Vries's timetable</w:t>
      </w:r>
    </w:p>
    <w:p>
      <w:pPr>
        <w:spacing w:after="240"/>
      </w:pPr>
      <w:r>
        <w:rPr>
          <w:color w:val="4A5568"/>
          <w:sz w:val="22"/>
        </w:rPr>
        <w:t>Ms Jansen hears it again in the corridors: students complaining that Mr De Vries's lessons are "a chaos" — no clear lesson plan, material he improvises on the spot, a class that no longer knows what is expected of them. She knows why: De Vries is going through a difficult divorce and barely has time to prepare. Last week she found him alone in the staff room early in the morning, red-eyed, with a half-empty cup of coffee. She wants to be there for him as a colleague, but student complaints are piling up and the team leader has asked about it twice already. Does she protect De Vries by staying silent about his situation, or go to the team leader to ask for help, even though it is not hers to share?</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