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Twee opstellen naast elkaar</w:t>
      </w:r>
    </w:p>
    <w:p>
      <w:pPr>
        <w:spacing w:after="240"/>
      </w:pPr>
      <w:r>
        <w:rPr>
          <w:color w:val="4A5568"/>
          <w:sz w:val="22"/>
        </w:rPr>
        <w:t>Meneer Bakker zit donderdagmiddag na schooltijd met twee opstellen naast elkaar: dat van Lisa en dat van haar klasgenoot Fenna. Op de derde alinea staat exact dezelfde zin, tot en met de typefout. Hij weet dat overschrijven volgens het examenreglement een onvoldoende en een aantekening in het dossier betekent. Maar hij kent ook Lisa's situatie: vorige week vertelde ze hem, met tranen in haar ogen, dat haar ouders een onvoldoende "gewoon niet accepteren" en dat er thuis al maanden ruzie is over haar cijfers. Volgt hij het protocol, dan riskeert hij dat de druk thuis verder oploopt. Laat hij het gaan, dan ondermijnt hij de regel die oneerlijkheid moet tegengaan — en wat zegt hij dan tegen Fenna, die haar eigen werk maakte? Bakker legt de twee opstellen naast elkaar op zijn bureau. Belt hij de ouders, of eerst Lisa zelf?</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