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F6BD60" w:sz="24"/>
              <w:right w:val="none" w:color="FFFFFF" w:sz="0"/>
            </w:tcBorders>
            <w:shd w:fill="354F52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TEACHER VERSION · MW10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The right to be offline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Higher education (UAS) · HRM · English · accompanies the 2-page student version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F6BD60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COMPLEXITY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MACRO ★★★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LEARNING OUTCOMES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systematically map the people involved in a policy proposal. (Seeing)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name consequences for each stakeholder in terms of wellbeing, autonomy and justice. (Seeing, Weighing)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formulate a position and substantiate it with the matrix. (Weighing)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COMPLEXITY: WHY MACRO?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Macro: the tension lies at the level of legislation and labour market policy, and no single employer or adviser can solve the dilemma alone.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Test: </w:t>
      </w:r>
      <w:r>
        <w:rPr>
          <w:rFonts w:ascii="Arial" w:cs="Arial" w:eastAsia="Arial" w:hAnsi="Arial"/>
          <w:sz w:val="19"/>
          <w:szCs w:val="19"/>
        </w:rPr>
        <w:t xml:space="preserve">“Who or what would have to change for this dilemma to disappear?” Answer: the law and the social system. That is Macro.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Not Meso: </w:t>
      </w:r>
      <w:r>
        <w:rPr>
          <w:rFonts w:ascii="Arial" w:cs="Arial" w:eastAsia="Arial" w:hAnsi="Arial"/>
          <w:sz w:val="19"/>
          <w:szCs w:val="19"/>
        </w:rPr>
        <w:t xml:space="preserve">the question is not how one organisation deals with availability, but what is fair for an entire market (decision rule 3).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Note: </w:t>
      </w:r>
      <w:r>
        <w:rPr>
          <w:rFonts w:ascii="Arial" w:cs="Arial" w:eastAsia="Arial" w:hAnsi="Arial"/>
          <w:sz w:val="19"/>
          <w:szCs w:val="19"/>
        </w:rPr>
        <w:t xml:space="preserve">this is a second Macro case in the series. Students may feel small; stress that advisers prepare policy positions.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PREPARATION AND PROCEDURE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Materials: </w:t>
      </w:r>
      <w:r>
        <w:rPr>
          <w:rFonts w:ascii="Arial" w:cs="Arial" w:eastAsia="Arial" w:hAnsi="Arial"/>
          <w:sz w:val="19"/>
          <w:szCs w:val="19"/>
        </w:rPr>
        <w:t xml:space="preserve">student version printed double-sided, pens, timer. Groups of 3–6. Allow 60 minutes.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Role of the facilitator: </w:t>
      </w:r>
      <w:r>
        <w:rPr>
          <w:rFonts w:ascii="Arial" w:cs="Arial" w:eastAsia="Arial" w:hAnsi="Arial"/>
          <w:sz w:val="19"/>
          <w:szCs w:val="19"/>
        </w:rPr>
        <w:t xml:space="preserve">watch the cells students skip; those are often the most interesting. The three principles may be adapted to the model (see variations).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Source: </w:t>
      </w:r>
      <w:r>
        <w:rPr>
          <w:rFonts w:ascii="Arial" w:cs="Arial" w:eastAsia="Arial" w:hAnsi="Arial"/>
          <w:sz w:val="19"/>
          <w:szCs w:val="19"/>
        </w:rPr>
        <w:t xml:space="preserve">the matrix has been worked out in our own words after Mepham (2000).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PITFALLS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Students only fill in effects for employers. Ask about the silent parties.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matrix becomes a sum. It is about weighing, not adding up.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Students choose a position before the matrix. Have them fill it in first.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POSSIBLE ANSWERS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6"/>
      </w:tblGrid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354F5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Party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354F5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Example of what is at stake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354F52"/>
                <w:sz w:val="17"/>
                <w:szCs w:val="17"/>
              </w:rPr>
              <w:t xml:space="preserve">Employee with a permanent contract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Wellbeing +: rest. Autonomy −: less flexible. Justice +: equal protection.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354F52"/>
                <w:sz w:val="17"/>
                <w:szCs w:val="17"/>
              </w:rPr>
              <w:t xml:space="preserve">Employee in healthcare or shift work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Little change; risk that the law mainly protects office work (justice −).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354F52"/>
                <w:sz w:val="17"/>
                <w:szCs w:val="17"/>
              </w:rPr>
              <w:t xml:space="preserve">Small business owner or self-employed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Autonomy −: customer expectations remain. Wellbeing ±: setting your own boundaries becomes harder.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354F52"/>
                <w:sz w:val="17"/>
                <w:szCs w:val="17"/>
              </w:rPr>
              <w:t xml:space="preserve">Customer or patient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Availability decreases; emergencies must be clearly defined.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VARIATIONS AND DIFFERENTIATION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Shorter (40 min): </w:t>
      </w:r>
      <w:r>
        <w:rPr>
          <w:rFonts w:ascii="Arial" w:cs="Arial" w:eastAsia="Arial" w:hAnsi="Arial"/>
          <w:sz w:val="19"/>
          <w:szCs w:val="19"/>
        </w:rPr>
        <w:t xml:space="preserve">four parties and two principles.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use a shared worksheet with the matrix.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Adapting to the model: </w:t>
      </w:r>
      <w:r>
        <w:rPr>
          <w:rFonts w:ascii="Arial" w:cs="Arial" w:eastAsia="Arial" w:hAnsi="Arial"/>
          <w:sz w:val="19"/>
          <w:szCs w:val="19"/>
        </w:rPr>
        <w:t xml:space="preserve">replace the three principles with Seeing, Feeling, Weighing, Acting and Persisting and discuss per party.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Higher education (this version): </w:t>
      </w:r>
      <w:r>
        <w:rPr>
          <w:rFonts w:ascii="Arial" w:cs="Arial" w:eastAsia="Arial" w:hAnsi="Arial"/>
          <w:sz w:val="19"/>
          <w:szCs w:val="19"/>
        </w:rPr>
        <w:t xml:space="preserve">at least two ethical perspectives and a well-founded choice. For vocational education: CEFR B1 language and one question per step. For research universities: name and critique theories explicitly.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REFERENCES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(n.d.). About CC licenses. https://creativecommons.org/share-your-work/cclicenses/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Mepham, B. (2000). A framework for the ethical analysis of novel foods: The ethical matrix. Journal of Agricultural and Environmental Ethics, 12(2), 165–176. https://doi.org/10.1023/A:1009542714497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Complexity determined using the research group’s working definition, based on the micro-meso-macro thinking of .</w:t>
      </w:r>
    </w:p>
    <w:sectPr>
      <w:headerReference w:type="default" r:id="rId7"/>
      <w:footerReference w:type="default" r:id="rId8"/>
      <w:headerReference w:type="first" r:id="rId10"/>
      <w:footerReference w:type="first" r:id="rId11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Method based on: the ethical matrix (Mepham, 2000). Adaptation and case: Moral Craftsmanship, moralcraftsmanship.com. Licence: CC BY-SA 4.0 – https://creativecommons.org/licenses/by-sa/4.0/deed.en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MORAL CRAFTSMANSHIP · RESEARCH GROUP ETHICAL PRACTICE · TEACHER VERSION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MW10 The right to be offline (Higher education HRM, EN, teacher version)</dc:title>
  <dc:creator>Moreel Vakmanschap</dc:creator>
  <cp:lastModifiedBy>Moral Craftsmanship</cp:lastModifiedBy>
  <cp:revision>1</cp:revision>
  <dcterms:created xsi:type="dcterms:W3CDTF">2026-09-29T10:22:51.455Z</dcterms:created>
  <dcterms:modified xsi:type="dcterms:W3CDTF">2026-09-29T10:22:51.455Z</dcterms:modified>
  <dc:language>en-GB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