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300"/>
        <w:gridCol w:w="2606"/>
      </w:tblGrid>
      <w:tr>
        <w:tc>
          <w:tcPr>
            <w:tcW w:type="dxa" w:w="7300"/>
            <w:tcBorders>
              <w:top w:val="none" w:color="FFFFFF" w:sz="0"/>
              <w:left w:val="none" w:color="FFFFFF" w:sz="0"/>
              <w:bottom w:val="single" w:color="FFCDB2" w:sz="24"/>
              <w:right w:val="none" w:color="FFFFFF" w:sz="0"/>
            </w:tcBorders>
            <w:shd w:fill="6D6875" w:color="auto" w:val="clear"/>
            <w:tcMar>
              <w:top w:type="dxa" w:w="140"/>
              <w:left w:type="dxa" w:w="220"/>
              <w:bottom w:type="dxa" w:w="140"/>
              <w:right w:type="dxa" w:w="12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3C98B"/>
                <w:spacing w:val="30"/>
                <w:sz w:val="16"/>
                <w:szCs w:val="16"/>
              </w:rPr>
              <w:t xml:space="preserve">TEACHER VERSION · MW22</w:t>
            </w:r>
          </w:p>
          <w:p>
            <w:pPr>
              <w:spacing w:after="4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34"/>
                <w:szCs w:val="34"/>
              </w:rPr>
              <w:t xml:space="preserve">The wrong payment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color w:val="DDE6F0"/>
                <w:sz w:val="19"/>
                <w:szCs w:val="19"/>
              </w:rPr>
              <w:t xml:space="preserve">Higher education (UAS) · HRM · English · accompanies the 2-page student version</w:t>
            </w:r>
          </w:p>
        </w:tc>
        <w:tc>
          <w:tcPr>
            <w:tcW w:type="dxa" w:w="2606"/>
            <w:tcBorders>
              <w:top w:val="none" w:color="FFFFFF" w:sz="0"/>
              <w:left w:val="none" w:color="FFFFFF" w:sz="0"/>
              <w:bottom w:val="single" w:color="FFCDB2" w:sz="24"/>
              <w:right w:val="none" w:color="FFFFFF" w:sz="0"/>
            </w:tcBorders>
            <w:shd w:fill="993556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after="30"/>
              <w:jc w:val="center"/>
            </w:pPr>
            <w:r>
              <w:rPr>
                <w:rFonts w:ascii="Arial" w:cs="Arial" w:eastAsia="Arial" w:hAnsi="Arial"/>
                <w:b/>
                <w:bCs/>
                <w:color w:val="F5D9E2"/>
                <w:spacing w:val="30"/>
                <w:sz w:val="14"/>
                <w:szCs w:val="14"/>
              </w:rPr>
              <w:t xml:space="preserve">COMPLEXITY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6"/>
                <w:szCs w:val="26"/>
              </w:rPr>
              <w:t xml:space="preserve">MICRO ★☆☆</w:t>
            </w:r>
          </w:p>
        </w:tc>
      </w:tr>
    </w:tbl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LEARNING OUTCOMES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The student can take a position in a moral dilemma and substantiate it. (Weighing)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The student can name and appreciate the best argument of the other side. (Weighing)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The student can revise a position on the basis of an argument. (Weighing)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COMPLEXITY: WHY MICRO?</w:t>
      </w:r>
    </w:p>
    <w:p>
      <w:pPr>
        <w:spacing w:after="50" w:line="264"/>
      </w:pPr>
      <w:r>
        <w:rPr>
          <w:rFonts w:ascii="Arial" w:cs="Arial" w:eastAsia="Arial" w:hAnsi="Arial"/>
          <w:i/>
          <w:iCs/>
          <w:sz w:val="19"/>
          <w:szCs w:val="19"/>
        </w:rPr>
        <w:t xml:space="preserve">Micro: Deniz can decide for himself, no organisational policy determines the choice and the tension lies between two personal values (loyalty and honesty).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Test: </w:t>
      </w:r>
      <w:r>
        <w:rPr>
          <w:rFonts w:ascii="Arial" w:cs="Arial" w:eastAsia="Arial" w:hAnsi="Arial"/>
          <w:sz w:val="19"/>
          <w:szCs w:val="19"/>
        </w:rPr>
        <w:t xml:space="preserve">“Who or what would have to change for this dilemma to disappear?” Answer: Deniz’s own choice. That is Micro.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Not Meso: </w:t>
      </w:r>
      <w:r>
        <w:rPr>
          <w:rFonts w:ascii="Arial" w:cs="Arial" w:eastAsia="Arial" w:hAnsi="Arial"/>
          <w:sz w:val="19"/>
          <w:szCs w:val="19"/>
        </w:rPr>
        <w:t xml:space="preserve">no organisational rules or culture steer the choice; the role of the organisation stays in the background (decision rule 4).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Note: </w:t>
      </w:r>
      <w:r>
        <w:rPr>
          <w:rFonts w:ascii="Arial" w:cs="Arial" w:eastAsia="Arial" w:hAnsi="Arial"/>
          <w:sz w:val="19"/>
          <w:szCs w:val="19"/>
        </w:rPr>
        <w:t xml:space="preserve">discuss afterwards that in practice the case does have Meso aspects, such as a duty to report or a control procedure.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PREPARATION AND PROCEDURE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Materials: </w:t>
      </w:r>
      <w:r>
        <w:rPr>
          <w:rFonts w:ascii="Arial" w:cs="Arial" w:eastAsia="Arial" w:hAnsi="Arial"/>
          <w:sz w:val="19"/>
          <w:szCs w:val="19"/>
        </w:rPr>
        <w:t xml:space="preserve">student version printed double-sided, pens, timer; room to move around (two corners). Allow 60 minutes. Suitable for groups of 10–30.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Role of the facilitator: </w:t>
      </w:r>
      <w:r>
        <w:rPr>
          <w:rFonts w:ascii="Arial" w:cs="Arial" w:eastAsia="Arial" w:hAnsi="Arial"/>
          <w:sz w:val="19"/>
          <w:szCs w:val="19"/>
        </w:rPr>
        <w:t xml:space="preserve">let students choose a side first without consulting each other. Then ask for the best counterarguments, not for defending their own arguments.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Source: </w:t>
      </w:r>
      <w:r>
        <w:rPr>
          <w:rFonts w:ascii="Arial" w:cs="Arial" w:eastAsia="Arial" w:hAnsi="Arial"/>
          <w:sz w:val="19"/>
          <w:szCs w:val="19"/>
        </w:rPr>
        <w:t xml:space="preserve">the method has been worked out in our own words after Blatt and Kohlberg (1975). The KMDD® variant is a registered trademark and is not used here.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PITFALLS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The group mostly chooses one side. Make the dilemma more balanced: what if the amount is higher or lower?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Students only defend their own side. Ask: “What is the best argument of the other side?”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The conversation turns into a discussion about loyalty to Sanne. Also ask about Deniz’s own role.</w:t>
      </w:r>
    </w:p>
    <w:p>
      <w:pPr>
        <w:keepNext/>
        <w:pageBreakBefore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QUESTIONS FOR THE DEBRIEF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906"/>
      </w:tblGrid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6D687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Question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6D687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Purpose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FED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6D6875"/>
                <w:sz w:val="17"/>
                <w:szCs w:val="17"/>
              </w:rPr>
              <w:t xml:space="preserve">Who changed their choice, and why?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Discussing arguments instead of choosing sides.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FED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6D6875"/>
                <w:sz w:val="17"/>
                <w:szCs w:val="17"/>
              </w:rPr>
              <w:t xml:space="preserve">What if the amount was €30, or €3,000?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Looking at where the line lies.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FED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6D6875"/>
                <w:sz w:val="17"/>
                <w:szCs w:val="17"/>
              </w:rPr>
              <w:t xml:space="preserve">What if Sanne was not a friend?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Making the role of relationships visible.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FED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6D6875"/>
                <w:sz w:val="17"/>
                <w:szCs w:val="17"/>
              </w:rPr>
              <w:t xml:space="preserve">What if the company has a reporting procedure?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Difference between a personal and an organisational dilemma.</w:t>
            </w:r>
          </w:p>
        </w:tc>
      </w:tr>
    </w:tbl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VARIATIONS AND DIFFERENTIATION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Shorter (40 min): </w:t>
      </w:r>
      <w:r>
        <w:rPr>
          <w:rFonts w:ascii="Arial" w:cs="Arial" w:eastAsia="Arial" w:hAnsi="Arial"/>
          <w:sz w:val="19"/>
          <w:szCs w:val="19"/>
        </w:rPr>
        <w:t xml:space="preserve">skip step 3.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Online: </w:t>
      </w:r>
      <w:r>
        <w:rPr>
          <w:rFonts w:ascii="Arial" w:cs="Arial" w:eastAsia="Arial" w:hAnsi="Arial"/>
          <w:sz w:val="19"/>
          <w:szCs w:val="19"/>
        </w:rPr>
        <w:t xml:space="preserve">use breakout rooms for groups with the same choice.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Large group: </w:t>
      </w:r>
      <w:r>
        <w:rPr>
          <w:rFonts w:ascii="Arial" w:cs="Arial" w:eastAsia="Arial" w:hAnsi="Arial"/>
          <w:sz w:val="19"/>
          <w:szCs w:val="19"/>
        </w:rPr>
        <w:t xml:space="preserve">work with four corners (definitely report, probably report, probably not, definitely not).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Higher education (this version): </w:t>
      </w:r>
      <w:r>
        <w:rPr>
          <w:rFonts w:ascii="Arial" w:cs="Arial" w:eastAsia="Arial" w:hAnsi="Arial"/>
          <w:sz w:val="19"/>
          <w:szCs w:val="19"/>
        </w:rPr>
        <w:t xml:space="preserve">at least two ethical perspectives and a well-founded choice. For vocational education: CEFR B1 language and one question per step. For research universities: name and critique theories explicitly.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REFERENCES (APA 7)</w:t>
      </w:r>
    </w:p>
    <w:p>
      <w:pPr>
        <w:spacing w:after="40" w:line="240"/>
        <w:ind w:left="360" w:hanging="360"/>
      </w:pPr>
      <w:r>
        <w:rPr>
          <w:rFonts w:ascii="Arial" w:cs="Arial" w:eastAsia="Arial" w:hAnsi="Arial"/>
          <w:color w:val="333333"/>
          <w:sz w:val="16"/>
          <w:szCs w:val="16"/>
        </w:rPr>
        <w:t xml:space="preserve">Creative Commons. (n.d.). About CC licenses. https://creativecommons.org/share-your-work/cclicenses/</w:t>
      </w:r>
    </w:p>
    <w:p>
      <w:pPr>
        <w:spacing w:after="40" w:line="240"/>
        <w:ind w:left="360" w:hanging="360"/>
      </w:pPr>
      <w:r>
        <w:rPr>
          <w:rFonts w:ascii="Arial" w:cs="Arial" w:eastAsia="Arial" w:hAnsi="Arial"/>
          <w:color w:val="333333"/>
          <w:sz w:val="16"/>
          <w:szCs w:val="16"/>
        </w:rPr>
        <w:t xml:space="preserve">Blatt, M. M., &amp; Kohlberg, L. (1975). The effects of classroom moral discussion upon children’s level of moral judgment. Journal of Moral Education, 4(2), 129–161. https://doi.org/10.1080/0305724750040207</w:t>
      </w:r>
    </w:p>
    <w:p>
      <w:pPr>
        <w:spacing w:after="0" w:before="40"/>
      </w:pPr>
      <w:r>
        <w:rPr>
          <w:rFonts w:ascii="Arial" w:cs="Arial" w:eastAsia="Arial" w:hAnsi="Arial"/>
          <w:i/>
          <w:iCs/>
          <w:color w:val="5F5E5A"/>
          <w:sz w:val="15"/>
          <w:szCs w:val="15"/>
        </w:rPr>
        <w:t xml:space="preserve">Complexity determined using the research group’s working definition, based on the micro-meso-macro thinking of .</w:t>
      </w:r>
    </w:p>
    <w:sectPr>
      <w:headerReference w:type="default" r:id="rId7"/>
      <w:footerReference w:type="default" r:id="rId8"/>
      <w:headerReference w:type="first" r:id="rId10"/>
      <w:footerReference w:type="first" r:id="rId11"/>
      <w:pgSz w:w="11906" w:h="16838" w:orient="portrait"/>
      <w:pgMar w:top="1250" w:right="1000" w:bottom="900" w:left="1000" w:header="500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C5CC" w:sz="4" w:space="4"/>
      </w:pBdr>
      <w:spacing w:before="60"/>
    </w:pPr>
    <w:r>
      <w:rPr>
        <w:rFonts w:ascii="Arial" w:cs="Arial" w:eastAsia="Arial" w:hAnsi="Arial"/>
        <w:i/>
        <w:iCs/>
        <w:color w:val="5F5E5A"/>
        <w:sz w:val="14"/>
        <w:szCs w:val="14"/>
      </w:rPr>
      <w:t xml:space="preserve">Method based on: dilemma discussion (Blatt &amp; Kohlberg, 1975; worked out in our own words). Adaptation and case: Moral Craftsmanship, moralcraftsmanship.com. Licence: CC BY-SA 4.0 – https://creativecommons.org/licenses/by-sa/4.0/deed.en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906"/>
      </w:tabs>
      <w:spacing w:after="60"/>
    </w:pPr>
    <w:r>
      <w:rPr>
        <w:rFonts w:ascii="Arial" w:cs="Arial" w:eastAsia="Arial" w:hAnsi="Arial"/>
        <w:b/>
        <w:bCs/>
        <w:color w:val="5F5E5A"/>
        <w:spacing w:val="20"/>
        <w:sz w:val="15"/>
        <w:szCs w:val="15"/>
      </w:rPr>
      <w:t xml:space="preserve">MORAL CRAFTSMANSHIP · RESEARCH GROUP ETHICAL PRACTICE · TEACHER VERSION</w:t>
    </w:r>
    <w:r>
      <w:rPr>
        <w:rFonts w:ascii="Arial" w:cs="Arial" w:eastAsia="Arial" w:hAnsi="Arial"/>
      </w:rPr>
      <w:tab/>
    </w:r>
    <w:r>
      <w:drawing>
        <wp:inline distT="0" distB="0" distL="0" distR="0">
          <wp:extent cx="838200" cy="476250"/>
          <wp:effectExtent t="0" r="0" b="0" l="0"/>
          <wp:docPr id="1" name="logo" descr="Fontys logo" title="Fontys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38200" cy="4762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400"/>
      </w:pPr>
      <w:rPr>
        <w:rFonts w:ascii="Arial" w:cs="Arial" w:eastAsia="Arial" w:hAnsi="Arial"/>
        <w:b/>
        <w:bCs/>
        <w:color w:val="5B2D8E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  <w:rPr>
        <w:rFonts w:ascii="Arial" w:cs="Arial" w:eastAsia="Arial" w:hAnsi="Arial"/>
        <w:color w:val="5B2D8E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Relationship Id="rId10" Type="http://schemas.openxmlformats.org/officeDocument/2006/relationships/header" Target="header2.xml"/><Relationship Id="rId11" Type="http://schemas.openxmlformats.org/officeDocument/2006/relationships/footer" Target="footer2.xml"/></Relationships>
</file>

<file path=word/_rels/header1.xml.rels><?xml version='1.0' encoding='UTF-8' standalone='yes'?>
<Relationships xmlns="http://schemas.openxmlformats.org/package/2006/relationships"><Relationship Id="rId0" Type="http://schemas.openxmlformats.org/officeDocument/2006/relationships/image" Target="media/bf0743bdfa2aebd701f32a08f734a4287c2ee9c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MW22 The wrong payment (Higher education HRM, EN, teacher version)</dc:title>
  <dc:creator>Moreel Vakmanschap</dc:creator>
  <cp:lastModifiedBy>Moral Craftsmanship</cp:lastModifiedBy>
  <cp:revision>1</cp:revision>
  <dcterms:created xsi:type="dcterms:W3CDTF">2026-09-30T09:24:23.244Z</dcterms:created>
  <dcterms:modified xsi:type="dcterms:W3CDTF">2026-09-30T09:24:23.244Z</dcterms:modified>
  <dc:language>en-GB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