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0E7C7B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MW23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Where do you stand?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2C14E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MICRO ★☆☆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determine their own position on a moral statement and explain it.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recognise when group pressure influences their position. (Feeling)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revise a position on the basis of an argument.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MICRO?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Micro: Nadia decides for herself where she stands, and the tension lies between her own conviction and her wish not to stand out.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Nadia’s own choice. That is Micro.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Meso: </w:t>
      </w:r>
      <w:r>
        <w:rPr>
          <w:rFonts w:ascii="Arial" w:cs="Arial" w:eastAsia="Arial" w:hAnsi="Arial"/>
          <w:sz w:val="19"/>
          <w:szCs w:val="19"/>
        </w:rPr>
        <w:t xml:space="preserve">no organisational rule or culture determines the choice; the pressure comes from the group in the room (decision rules 1 and 4).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Note: </w:t>
      </w:r>
      <w:r>
        <w:rPr>
          <w:rFonts w:ascii="Arial" w:cs="Arial" w:eastAsia="Arial" w:hAnsi="Arial"/>
          <w:sz w:val="19"/>
          <w:szCs w:val="19"/>
        </w:rPr>
        <w:t xml:space="preserve">the statements themselves may also have Meso aspects. The level of the case says nothing about the level of the discussion.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space to walk, tape or a rope as the line, statements, pen and paper. Allow 30 minutes for three statements.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read out the statement, first let students write down a score individually and only then walk. First ask people at the ends, and only then the middle.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Agreements beforehand: </w:t>
      </w:r>
      <w:r>
        <w:rPr>
          <w:rFonts w:ascii="Arial" w:cs="Arial" w:eastAsia="Arial" w:hAnsi="Arial"/>
          <w:sz w:val="19"/>
          <w:szCs w:val="19"/>
        </w:rPr>
        <w:t xml:space="preserve">nobody has to say anything; anyone who wants to may pass.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stay in the middle. The score beforehand helps them really choose a position.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Students copy the position of a popular classmate. Ask who would stand elsewhere if they could not see the others.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Statements are too heavy or too private. Keep them to internships, work and study.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ALTERNATIVE STATEMENTS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506"/>
      </w:tblGrid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Theme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E7C7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Statement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Fairness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“A good HR adviser sometimes leaves something unsaid, to protect someone.”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Loyalty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“If you see a colleague cheating, you must always report it.”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Justice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“Equal treatment means that everyone gets the same rules.”</w:t>
            </w:r>
          </w:p>
        </w:tc>
      </w:tr>
      <w:tr>
        <w:tc>
          <w:tcPr>
            <w:tcW w:type="dxa" w:w="2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3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E7C7B"/>
                <w:sz w:val="17"/>
                <w:szCs w:val="17"/>
              </w:rPr>
              <w:t xml:space="preserve">Autonomy</w:t>
            </w:r>
          </w:p>
        </w:tc>
        <w:tc>
          <w:tcPr>
            <w:tcW w:type="dxa" w:w="75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“Employees may decide for themselves how they do their work, as long as the result is right.”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(15 min): </w:t>
      </w:r>
      <w:r>
        <w:rPr>
          <w:rFonts w:ascii="Arial" w:cs="Arial" w:eastAsia="Arial" w:hAnsi="Arial"/>
          <w:sz w:val="19"/>
          <w:szCs w:val="19"/>
        </w:rPr>
        <w:t xml:space="preserve">two statements, without the worksheet.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use a slider or a score in the chat.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use four corners (strongly agree / agree / disagree / strongly disagree).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Raths, L. E., Harmin, M., &amp; Simon, S. B. (1966). Values and teaching: Working with values in the classroom. Charles E. Merrill. [Related background; the values line itself is general teaching repertoire without an owner.]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values line (general teaching repertoire).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MW23 Where do you stand? (Higher education HRM, EN, teacher version)</dc:title>
  <dc:creator>Moreel Vakmanschap</dc:creator>
  <cp:lastModifiedBy>Moral Craftsmanship</cp:lastModifiedBy>
  <cp:revision>1</cp:revision>
  <dcterms:created xsi:type="dcterms:W3CDTF">2026-09-29T10:22:50.845Z</dcterms:created>
  <dcterms:modified xsi:type="dcterms:W3CDTF">2026-09-29T10:22:50.845Z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