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00"/>
        <w:gridCol w:w="2606"/>
      </w:tblGrid>
      <w:tr>
        <w:tc>
          <w:tcPr>
            <w:tcW w:type="dxa" w:w="7300"/>
            <w:tcBorders>
              <w:top w:val="none" w:color="FFFFFF" w:sz="0"/>
              <w:left w:val="none" w:color="FFFFFF" w:sz="0"/>
              <w:bottom w:val="single" w:color="F4A259" w:sz="24"/>
              <w:right w:val="none" w:color="FFFFFF" w:sz="0"/>
            </w:tcBorders>
            <w:shd w:fill="1D6FA5" w:color="auto" w:val="clear"/>
            <w:tcMar>
              <w:top w:type="dxa" w:w="140"/>
              <w:left w:type="dxa" w:w="220"/>
              <w:bottom w:type="dxa" w:w="14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3C98B"/>
                <w:spacing w:val="30"/>
                <w:sz w:val="16"/>
                <w:szCs w:val="16"/>
              </w:rPr>
              <w:t xml:space="preserve">TEACHER VERSION · MW29</w:t>
            </w:r>
          </w:p>
          <w:p>
            <w:pPr>
              <w:spacing w:after="4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The buddy app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DDE6F0"/>
                <w:sz w:val="19"/>
                <w:szCs w:val="19"/>
              </w:rPr>
              <w:t xml:space="preserve">Higher education (UAS) · HRM · English · accompanies the 2-page student version</w:t>
            </w:r>
          </w:p>
        </w:tc>
        <w:tc>
          <w:tcPr>
            <w:tcW w:type="dxa" w:w="2606"/>
            <w:tcBorders>
              <w:top w:val="none" w:color="FFFFFF" w:sz="0"/>
              <w:left w:val="none" w:color="FFFFFF" w:sz="0"/>
              <w:bottom w:val="single" w:color="F4A259" w:sz="24"/>
              <w:right w:val="none" w:color="FFFFFF" w:sz="0"/>
            </w:tcBorders>
            <w:shd w:fill="99355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Arial" w:cs="Arial" w:eastAsia="Arial" w:hAnsi="Arial"/>
                <w:b/>
                <w:bCs/>
                <w:color w:val="F5D9E2"/>
                <w:spacing w:val="30"/>
                <w:sz w:val="14"/>
                <w:szCs w:val="14"/>
              </w:rPr>
              <w:t xml:space="preserve">COMPLEXITY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MESO ★★☆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LEARNING OUTCOMES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The student can systematically map the stakeholders and effects of an HR tool. (Seeing)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The student can link risks to values and devise measures for them. (Weighing)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The student can name a concrete first step. (Weighing)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COMPLEXITY: WHY MESO?</w:t>
      </w:r>
    </w:p>
    <w:p>
      <w:pPr>
        <w:spacing w:after="50" w:line="264"/>
      </w:pPr>
      <w:r>
        <w:rPr>
          <w:rFonts w:ascii="Arial" w:cs="Arial" w:eastAsia="Arial" w:hAnsi="Arial"/>
          <w:i/>
          <w:iCs/>
          <w:sz w:val="19"/>
          <w:szCs w:val="19"/>
        </w:rPr>
        <w:t xml:space="preserve">Meso: the HR adviser weighs management’s wishes against the interests of employees, within an organisation with its own rules and culture.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Test: </w:t>
      </w:r>
      <w:r>
        <w:rPr>
          <w:rFonts w:ascii="Arial" w:cs="Arial" w:eastAsia="Arial" w:hAnsi="Arial"/>
          <w:sz w:val="19"/>
          <w:szCs w:val="19"/>
        </w:rPr>
        <w:t xml:space="preserve">“Who or what would have to change for this dilemma to disappear?” Answer: the way the organisation uses the app and which data it uses. That is Meso.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Not Micro: </w:t>
      </w:r>
      <w:r>
        <w:rPr>
          <w:rFonts w:ascii="Arial" w:cs="Arial" w:eastAsia="Arial" w:hAnsi="Arial"/>
          <w:sz w:val="19"/>
          <w:szCs w:val="19"/>
        </w:rPr>
        <w:t xml:space="preserve">management, team leaders, employees and buddies play a significant role (decision rule 2).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Not Macro: </w:t>
      </w:r>
      <w:r>
        <w:rPr>
          <w:rFonts w:ascii="Arial" w:cs="Arial" w:eastAsia="Arial" w:hAnsi="Arial"/>
          <w:sz w:val="19"/>
          <w:szCs w:val="19"/>
        </w:rPr>
        <w:t xml:space="preserve">privacy legislation is in the background, but the core is organisational policy (decision rule 3).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PREPARATION AND PROCEDURE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Materials: </w:t>
      </w:r>
      <w:r>
        <w:rPr>
          <w:rFonts w:ascii="Arial" w:cs="Arial" w:eastAsia="Arial" w:hAnsi="Arial"/>
          <w:sz w:val="19"/>
          <w:szCs w:val="19"/>
        </w:rPr>
        <w:t xml:space="preserve">student version printed double-sided, pens, timer; optionally an A3 copy of the canvas. Groups of 3–6. Allow 75 minutes.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Role of the facilitator: </w:t>
      </w:r>
      <w:r>
        <w:rPr>
          <w:rFonts w:ascii="Arial" w:cs="Arial" w:eastAsia="Arial" w:hAnsi="Arial"/>
          <w:sz w:val="19"/>
          <w:szCs w:val="19"/>
        </w:rPr>
        <w:t xml:space="preserve">pay attention to box 4 (relationships): students often skip it. Ask about the buddy and the new colleague separately.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Source: </w:t>
      </w:r>
      <w:r>
        <w:rPr>
          <w:rFonts w:ascii="Arial" w:cs="Arial" w:eastAsia="Arial" w:hAnsi="Arial"/>
          <w:sz w:val="19"/>
          <w:szCs w:val="19"/>
        </w:rPr>
        <w:t xml:space="preserve">the canvas is a simplified version of the Ethics Canvas; the worksheet is therefore also published under CC BY-SA.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PITFALLS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Students only fill in benefits. Ask about the silent parties.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Students immediately choose “ban the app”. Ask about measures between on and off.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Box 6 remains abstract. Have students link values to a concrete risk from box 5.</w:t>
      </w:r>
    </w:p>
    <w:p>
      <w:pPr>
        <w:keepNext/>
        <w:pageBreakBefore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POSSIBLE ANSWERS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906"/>
      </w:tblGrid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1D6FA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Box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1D6FA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Example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5EF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1D6FA5"/>
                <w:sz w:val="17"/>
                <w:szCs w:val="17"/>
              </w:rPr>
              <w:t xml:space="preserve">1. Stakeholders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New employees, buddies, team leaders, HR, employee council.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5EF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1D6FA5"/>
                <w:sz w:val="17"/>
                <w:szCs w:val="17"/>
              </w:rPr>
              <w:t xml:space="preserve">3. Behaviour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Employees disclose more about themselves; team leaders check the app more often.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5EF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1D6FA5"/>
                <w:sz w:val="17"/>
                <w:szCs w:val="17"/>
              </w:rPr>
              <w:t xml:space="preserve">5. Risks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Sickness absence becomes visible to the buddy; peer pressure; data collection without a clear purpose.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5EF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1D6FA5"/>
                <w:sz w:val="17"/>
                <w:szCs w:val="17"/>
              </w:rPr>
              <w:t xml:space="preserve">7. Measures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No health data in the match; team leaders cannot see the match score; use on a voluntary basis.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VARIATIONS AND DIFFERENTIATION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Shorter (50 min): </w:t>
      </w:r>
      <w:r>
        <w:rPr>
          <w:rFonts w:ascii="Arial" w:cs="Arial" w:eastAsia="Arial" w:hAnsi="Arial"/>
          <w:sz w:val="19"/>
          <w:szCs w:val="19"/>
        </w:rPr>
        <w:t xml:space="preserve">work with boxes 1, 2, 5 and 7.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Online: </w:t>
      </w:r>
      <w:r>
        <w:rPr>
          <w:rFonts w:ascii="Arial" w:cs="Arial" w:eastAsia="Arial" w:hAnsi="Arial"/>
          <w:sz w:val="19"/>
          <w:szCs w:val="19"/>
        </w:rPr>
        <w:t xml:space="preserve">use a shared board with eight fields.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Large group: </w:t>
      </w:r>
      <w:r>
        <w:rPr>
          <w:rFonts w:ascii="Arial" w:cs="Arial" w:eastAsia="Arial" w:hAnsi="Arial"/>
          <w:sz w:val="19"/>
          <w:szCs w:val="19"/>
        </w:rPr>
        <w:t xml:space="preserve">have each group work out two boxes and put them together.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Higher education (this version): </w:t>
      </w:r>
      <w:r>
        <w:rPr>
          <w:rFonts w:ascii="Arial" w:cs="Arial" w:eastAsia="Arial" w:hAnsi="Arial"/>
          <w:sz w:val="19"/>
          <w:szCs w:val="19"/>
        </w:rPr>
        <w:t xml:space="preserve">at least two ethical perspectives and a well-founded choice. For vocational education: CEFR B1 language and one question per step. For research universities: name and critique theories explicitly.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REFERENCES (APA 7)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Creative Commons. (n.d.). About CC licenses. https://creativecommons.org/share-your-work/cclicenses/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ADAPT Centre. (n.d.). The Ethics Canvas. Trinity College Dublin. https://www.ethicscanvas.org/</w:t>
      </w:r>
    </w:p>
    <w:p>
      <w:pPr>
        <w:spacing w:after="0" w:before="40"/>
      </w:pPr>
      <w:r>
        <w:rPr>
          <w:rFonts w:ascii="Arial" w:cs="Arial" w:eastAsia="Arial" w:hAnsi="Arial"/>
          <w:i/>
          <w:iCs/>
          <w:color w:val="5F5E5A"/>
          <w:sz w:val="15"/>
          <w:szCs w:val="15"/>
        </w:rPr>
        <w:t xml:space="preserve">Complexity determined using the research group’s working definition, based on the micro-meso-macro thinking of .</w:t>
      </w:r>
    </w:p>
    <w:sectPr>
      <w:headerReference w:type="default" r:id="rId7"/>
      <w:footerReference w:type="default" r:id="rId8"/>
      <w:headerReference w:type="first" r:id="rId10"/>
      <w:footerReference w:type="first" r:id="rId11"/>
      <w:pgSz w:w="11906" w:h="16838" w:orient="portrait"/>
      <w:pgMar w:top="1250" w:right="1000" w:bottom="900" w:left="1000" w:header="5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C5CC" w:sz="4" w:space="4"/>
      </w:pBdr>
      <w:spacing w:before="60"/>
    </w:pPr>
    <w:r>
      <w:rPr>
        <w:rFonts w:ascii="Arial" w:cs="Arial" w:eastAsia="Arial" w:hAnsi="Arial"/>
        <w:i/>
        <w:iCs/>
        <w:color w:val="5F5E5A"/>
        <w:sz w:val="14"/>
        <w:szCs w:val="14"/>
      </w:rPr>
      <w:t xml:space="preserve">Based on The Ethics Canvas – ADAPT Centre &amp; Trinity College Dublin – CC BY-SA 3.0 – https://www.ethicscanvas.org/ (simplified). Adaptation and case: Moral Craftsmanship, moralcraftsmanship.com. Licence: CC BY-SA 4.0 – https://creativecommons.org/licenses/by-sa/4.0/deed.en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906"/>
      </w:tabs>
      <w:spacing w:after="60"/>
    </w:pPr>
    <w:r>
      <w:rPr>
        <w:rFonts w:ascii="Arial" w:cs="Arial" w:eastAsia="Arial" w:hAnsi="Arial"/>
        <w:b/>
        <w:bCs/>
        <w:color w:val="5F5E5A"/>
        <w:spacing w:val="20"/>
        <w:sz w:val="15"/>
        <w:szCs w:val="15"/>
      </w:rPr>
      <w:t xml:space="preserve">MORAL CRAFTSMANSHIP · RESEARCH GROUP ETHICAL PRACTICE · TEACHER VERSION</w:t>
    </w:r>
    <w:r>
      <w:rPr>
        <w:rFonts w:ascii="Arial" w:cs="Arial" w:eastAsia="Arial" w:hAnsi="Arial"/>
      </w:rPr>
      <w:tab/>
    </w:r>
    <w:r>
      <w:drawing>
        <wp:inline distT="0" distB="0" distL="0" distR="0">
          <wp:extent cx="838200" cy="476250"/>
          <wp:effectExtent t="0" r="0" b="0" l="0"/>
          <wp:docPr id="1" name="logo" descr="Fontys logo" title="Fonty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38200" cy="4762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400"/>
      </w:pPr>
      <w:rPr>
        <w:rFonts w:ascii="Arial" w:cs="Arial" w:eastAsia="Arial" w:hAnsi="Arial"/>
        <w:b/>
        <w:bCs/>
        <w:color w:val="5B2D8E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  <w:rPr>
        <w:rFonts w:ascii="Arial" w:cs="Arial" w:eastAsia="Arial" w:hAnsi="Arial"/>
        <w:color w:val="5B2D8E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header" Target="header2.xml"/><Relationship Id="rId11" Type="http://schemas.openxmlformats.org/officeDocument/2006/relationships/footer" Target="footer2.xml"/></Relationships>
</file>

<file path=word/_rels/header1.xml.rels><?xml version='1.0' encoding='UTF-8' standalone='yes'?>
<Relationships xmlns="http://schemas.openxmlformats.org/package/2006/relationships"><Relationship Id="rId0" Type="http://schemas.openxmlformats.org/officeDocument/2006/relationships/image" Target="media/bf0743bdfa2aebd701f32a08f734a4287c2ee9c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MW29 The buddy app (Higher education HRM, EN, teacher version)</dc:title>
  <dc:creator>Moreel Vakmanschap</dc:creator>
  <cp:lastModifiedBy>Moral Craftsmanship</cp:lastModifiedBy>
  <cp:revision>1</cp:revision>
  <dcterms:created xsi:type="dcterms:W3CDTF">2026-09-30T08:50:13.448Z</dcterms:created>
  <dcterms:modified xsi:type="dcterms:W3CDTF">2026-09-30T08:50:13.448Z</dcterms:modified>
  <dc:language>en-GB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