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0"/>
        <w:gridCol w:w="2606"/>
      </w:tblGrid>
      <w:tr>
        <w:tc>
          <w:tcPr>
            <w:tcW w:type="dxa" w:w="7300"/>
            <w:tcBorders>
              <w:top w:val="none" w:color="FFFFFF" w:sz="0"/>
              <w:left w:val="none" w:color="FFFFFF" w:sz="0"/>
              <w:bottom w:val="single" w:color="E08A1E" w:sz="24"/>
              <w:right w:val="none" w:color="FFFFFF" w:sz="0"/>
            </w:tcBorders>
            <w:shd w:fill="1F3A5F" w:color="auto" w:val="clear"/>
            <w:tcMar>
              <w:top w:type="dxa" w:w="140"/>
              <w:left w:type="dxa" w:w="220"/>
              <w:bottom w:type="dxa" w:w="14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3C98B"/>
                <w:spacing w:val="30"/>
                <w:sz w:val="16"/>
                <w:szCs w:val="16"/>
              </w:rPr>
              <w:t xml:space="preserve">TEACHER VERSION · MW38</w:t>
            </w:r>
          </w:p>
          <w:p>
            <w:pPr>
              <w:spacing w:after="4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Zero tolerance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DDE6F0"/>
                <w:sz w:val="19"/>
                <w:szCs w:val="19"/>
              </w:rPr>
              <w:t xml:space="preserve">Higher education (UAS) · HRM · English · accompanies the 2-page student version</w:t>
            </w:r>
          </w:p>
        </w:tc>
        <w:tc>
          <w:tcPr>
            <w:tcW w:type="dxa" w:w="2606"/>
            <w:tcBorders>
              <w:top w:val="none" w:color="FFFFFF" w:sz="0"/>
              <w:left w:val="none" w:color="FFFFFF" w:sz="0"/>
              <w:bottom w:val="single" w:color="E08A1E" w:sz="24"/>
              <w:right w:val="none" w:color="FFFFFF" w:sz="0"/>
            </w:tcBorders>
            <w:shd w:fill="99355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color w:val="F5D9E2"/>
                <w:spacing w:val="30"/>
                <w:sz w:val="14"/>
                <w:szCs w:val="14"/>
              </w:rPr>
              <w:t xml:space="preserve">COMPLEXITY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MESO ★★☆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LEARNING OUTCOMES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analyse a dilemma in terms of values, duties and consequences for each option. (Weighing)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weigh the options from at least two ethical perspectives and take the strongest counterargument seriously. (Weighing)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formulate a reasoned decision using because – even though – therefore and translate it into concrete action. (Acting)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COMPLEXITY: WHY MESO?</w:t>
      </w:r>
    </w:p>
    <w:p>
      <w:pPr>
        <w:spacing w:after="50" w:line="264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Meso: the HR adviser weighs organisational policy against the duty of care, the safety of colleagues and the wishes of the director.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Test: </w:t>
      </w:r>
      <w:r>
        <w:rPr>
          <w:rFonts w:ascii="Arial" w:cs="Arial" w:eastAsia="Arial" w:hAnsi="Arial"/>
          <w:sz w:val="19"/>
          <w:szCs w:val="19"/>
        </w:rPr>
        <w:t xml:space="preserve">“Who or what would have to change for this dilemma to disappear?” Answer: the organisation’s policy and how it is applied. That is Meso.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Not Micro: </w:t>
      </w:r>
      <w:r>
        <w:rPr>
          <w:rFonts w:ascii="Arial" w:cs="Arial" w:eastAsia="Arial" w:hAnsi="Arial"/>
          <w:sz w:val="19"/>
          <w:szCs w:val="19"/>
        </w:rPr>
        <w:t xml:space="preserve">the director, team leader, Esra and the earlier dismissal of an agency worker play a significant role; Mirjam is bound by her role (decision rule 2).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Not Macro: </w:t>
      </w:r>
      <w:r>
        <w:rPr>
          <w:rFonts w:ascii="Arial" w:cs="Arial" w:eastAsia="Arial" w:hAnsi="Arial"/>
          <w:sz w:val="19"/>
          <w:szCs w:val="19"/>
        </w:rPr>
        <w:t xml:space="preserve">employment law and the duty of care are background, not the core of the dilemma (decision rule 3). In doubt? Choose the lowest level that covers the core tension.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PREPARATION AND PROCEDURE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Materials: </w:t>
      </w:r>
      <w:r>
        <w:rPr>
          <w:rFonts w:ascii="Arial" w:cs="Arial" w:eastAsia="Arial" w:hAnsi="Arial"/>
          <w:sz w:val="19"/>
          <w:szCs w:val="19"/>
        </w:rPr>
        <w:t xml:space="preserve">student version printed double-sided, pens, timer. Groups of 4–5. Allow 60 minutes; 75–90 with a plenary debrief.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Role of the facilitator: </w:t>
      </w:r>
      <w:r>
        <w:rPr>
          <w:rFonts w:ascii="Arial" w:cs="Arial" w:eastAsia="Arial" w:hAnsi="Arial"/>
          <w:sz w:val="19"/>
          <w:szCs w:val="19"/>
        </w:rPr>
        <w:t xml:space="preserve">guard the order: first analyse, then weigh, then decide. For every decision, ask about the “even though”: which counterargument did you weigh?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Safety: </w:t>
      </w:r>
      <w:r>
        <w:rPr>
          <w:rFonts w:ascii="Arial" w:cs="Arial" w:eastAsia="Arial" w:hAnsi="Arial"/>
          <w:sz w:val="19"/>
          <w:szCs w:val="19"/>
        </w:rPr>
        <w:t xml:space="preserve">addiction may come close to home. Agree beforehand that nobody has to share personal experiences, and talk about the people in the case.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PITFALLS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Students jump straight to a “third way”. First have them work out the choice between A and B; option B is already a middle way with conditions.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Esra disappears from view. Ask: “What does your decision mean for her safety and trust?”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decision stops at “because”. Only the “even though” and the “therefore” make it a reasoned decision.</w:t>
      </w:r>
    </w:p>
    <w:p>
      <w:pPr>
        <w:keepNext/>
        <w:pageBreakBefore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SUGGESTIONS FOR THE DEBRIEF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203"/>
        <w:gridCol w:w="4203"/>
      </w:tblGrid>
      <w:tr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tcW w:type="dxa" w:w="420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Option A: apply the policy (Jeroen is dismissed)</w:t>
            </w:r>
          </w:p>
        </w:tc>
        <w:tc>
          <w:tcPr>
            <w:tcW w:type="dxa" w:w="420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Option B: exception with conditions (last-chance agreement, treatment, temporarily other work)</w:t>
            </w:r>
          </w:p>
        </w:tc>
      </w:tr>
      <w:tr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AF0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1F3A5F"/>
                <w:sz w:val="17"/>
                <w:szCs w:val="17"/>
              </w:rPr>
              <w:t xml:space="preserve">Values</w:t>
            </w:r>
          </w:p>
        </w:tc>
        <w:tc>
          <w:tcPr>
            <w:tcW w:type="dxa" w:w="420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Safety, equal treatment, reliability of agreements.</w:t>
            </w:r>
          </w:p>
        </w:tc>
        <w:tc>
          <w:tcPr>
            <w:tcW w:type="dxa" w:w="420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Care, humanity, a second chance, loyalty after twelve years.</w:t>
            </w:r>
          </w:p>
        </w:tc>
      </w:tr>
      <w:tr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AF0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1F3A5F"/>
                <w:sz w:val="17"/>
                <w:szCs w:val="17"/>
              </w:rPr>
              <w:t xml:space="preserve">Duties</w:t>
            </w:r>
          </w:p>
        </w:tc>
        <w:tc>
          <w:tcPr>
            <w:tcW w:type="dxa" w:w="420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The signed policy; duty to protect colleagues; consistency with the earlier dismissal.</w:t>
            </w:r>
          </w:p>
        </w:tc>
        <w:tc>
          <w:tcPr>
            <w:tcW w:type="dxa" w:w="420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The employer’s duty of care; rules exist for people; professional integrity of HR.</w:t>
            </w:r>
          </w:p>
        </w:tc>
      </w:tr>
      <w:tr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AF0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1F3A5F"/>
                <w:sz w:val="17"/>
                <w:szCs w:val="17"/>
              </w:rPr>
              <w:t xml:space="preserve">Consequences</w:t>
            </w:r>
          </w:p>
        </w:tc>
        <w:tc>
          <w:tcPr>
            <w:tcW w:type="dxa" w:w="420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Esra feels taken seriously; Jeroen loses work and income in the middle of his crisis; the policy stays credible.</w:t>
            </w:r>
          </w:p>
        </w:tc>
        <w:tc>
          <w:tcPr>
            <w:tcW w:type="dxa" w:w="420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Chance of recovery; risk of relapse; inequality towards the agency worker; precedent; Esra’s trust may decline.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VARIATIONS AND DIFFERENTIATION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Shorter (45 min): </w:t>
      </w:r>
      <w:r>
        <w:rPr>
          <w:rFonts w:ascii="Arial" w:cs="Arial" w:eastAsia="Arial" w:hAnsi="Arial"/>
          <w:sz w:val="19"/>
          <w:szCs w:val="19"/>
        </w:rPr>
        <w:t xml:space="preserve">combine steps 5 and 6.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Other methods: </w:t>
      </w:r>
      <w:r>
        <w:rPr>
          <w:rFonts w:ascii="Arial" w:cs="Arial" w:eastAsia="Arial" w:hAnsi="Arial"/>
          <w:sz w:val="19"/>
          <w:szCs w:val="19"/>
        </w:rPr>
        <w:t xml:space="preserve">the same case works for the ethical cycle (MW08), the ethical lenses (MW11, MW36), an academic controversy (MW21), giving voice to values (MW16) and a pre-mortem on option B (MW18).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Level variants: </w:t>
      </w:r>
      <w:r>
        <w:rPr>
          <w:rFonts w:ascii="Arial" w:cs="Arial" w:eastAsia="Arial" w:hAnsi="Arial"/>
          <w:sz w:val="19"/>
          <w:szCs w:val="19"/>
        </w:rPr>
        <w:t xml:space="preserve">Micro: Esra decides whether to report the incident herself. Macro: should the law oblige employers to offer a care route in cases of addiction?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Higher education (this version): </w:t>
      </w:r>
      <w:r>
        <w:rPr>
          <w:rFonts w:ascii="Arial" w:cs="Arial" w:eastAsia="Arial" w:hAnsi="Arial"/>
          <w:sz w:val="19"/>
          <w:szCs w:val="19"/>
        </w:rPr>
        <w:t xml:space="preserve">at least two ethical perspectives and a well-founded choice. For vocational education: CEFR B1 language and one question per step. For research universities: name and critique theories explicitly.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REFERENCES (APA 7)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Creative Commons. (n.d.). About CC licenses. https://creativecommons.org/share-your-work/cclicenses/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Stolper, M., Molewijk, B., &amp; Widdershoven, G. (2016). Bioethics education in clinical settings: Theory and practice of the dilemma method of moral case deliberation. BMC Medical Ethics, 17, Article 45. https://doi.org/10.1186/s12910-016-0125-1</w:t>
      </w:r>
    </w:p>
    <w:p>
      <w:pPr>
        <w:spacing w:after="0" w:before="40"/>
      </w:pPr>
      <w:r>
        <w:rPr>
          <w:rFonts w:ascii="Arial" w:cs="Arial" w:eastAsia="Arial" w:hAnsi="Arial"/>
          <w:i/>
          <w:iCs/>
          <w:color w:val="5F5E5A"/>
          <w:sz w:val="15"/>
          <w:szCs w:val="15"/>
        </w:rPr>
        <w:t xml:space="preserve">Complexity determined using the research group’s working definition, based on the micro-meso-macro thinking of .</w:t>
      </w:r>
    </w:p>
    <w:sectPr>
      <w:headerReference w:type="default" r:id="rId7"/>
      <w:footerReference w:type="default" r:id="rId8"/>
      <w:headerReference w:type="first" r:id="rId10"/>
      <w:footerReference w:type="first" r:id="rId11"/>
      <w:pgSz w:w="11906" w:h="16838" w:orient="portrait"/>
      <w:pgMar w:top="1250" w:right="1000" w:bottom="900" w:left="1000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C5CC" w:sz="4" w:space="4"/>
      </w:pBdr>
      <w:spacing w:before="60"/>
    </w:pPr>
    <w:r>
      <w:rPr>
        <w:rFonts w:ascii="Arial" w:cs="Arial" w:eastAsia="Arial" w:hAnsi="Arial"/>
        <w:i/>
        <w:iCs/>
        <w:color w:val="5F5E5A"/>
        <w:sz w:val="14"/>
        <w:szCs w:val="14"/>
      </w:rPr>
      <w:t xml:space="preserve">Method based on: the dilemma method of moral case deliberation (Stolper, Molewijk &amp; Widdershoven, 2016; BMC Medical Ethics, CC BY 4.0). Adaptation and case: Moral Craftsmanship, moralcraftsmanship.com. Licence: CC BY-SA 4.0 – https://creativecommons.org/licenses/by-sa/4.0/deed.en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906"/>
      </w:tabs>
      <w:spacing w:after="60"/>
    </w:pPr>
    <w:r>
      <w:rPr>
        <w:rFonts w:ascii="Arial" w:cs="Arial" w:eastAsia="Arial" w:hAnsi="Arial"/>
        <w:b/>
        <w:bCs/>
        <w:color w:val="5F5E5A"/>
        <w:spacing w:val="20"/>
        <w:sz w:val="15"/>
        <w:szCs w:val="15"/>
      </w:rPr>
      <w:t xml:space="preserve">MORAL CRAFTSMANSHIP · RESEARCH GROUP ETHICAL PRACTICE · TEACHER VERSION</w:t>
    </w:r>
    <w:r>
      <w:rPr>
        <w:rFonts w:ascii="Arial" w:cs="Arial" w:eastAsia="Arial" w:hAnsi="Arial"/>
      </w:rPr>
      <w:tab/>
    </w:r>
    <w:r>
      <w:drawing>
        <wp:inline distT="0" distB="0" distL="0" distR="0">
          <wp:extent cx="838200" cy="476250"/>
          <wp:effectExtent t="0" r="0" b="0" l="0"/>
          <wp:docPr id="1" name="logo" descr="Fontys logo" title="Fonty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8200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400"/>
      </w:pPr>
      <w:rPr>
        <w:rFonts w:ascii="Arial" w:cs="Arial" w:eastAsia="Arial" w:hAnsi="Arial"/>
        <w:b/>
        <w:bCs/>
        <w:color w:val="5B2D8E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  <w:rPr>
        <w:rFonts w:ascii="Arial" w:cs="Arial" w:eastAsia="Arial" w:hAnsi="Arial"/>
        <w:color w:val="5B2D8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2.xml"/><Relationship Id="rId11" Type="http://schemas.openxmlformats.org/officeDocument/2006/relationships/footer" Target="footer2.xml"/></Relationships>
</file>

<file path=word/_rels/header1.xml.rels><?xml version='1.0' encoding='UTF-8' standalone='yes'?>
<Relationships xmlns="http://schemas.openxmlformats.org/package/2006/relationships"><Relationship Id="rId0" Type="http://schemas.openxmlformats.org/officeDocument/2006/relationships/image" Target="media/bf0743bdfa2aebd701f32a08f734a4287c2ee9c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MW38 Zero tolerance (Higher education HRM, EN, teacher version)</dc:title>
  <dc:creator>Moreel Vakmanschap</dc:creator>
  <cp:lastModifiedBy>Moral Craftsmanship</cp:lastModifiedBy>
  <cp:revision>1</cp:revision>
  <dcterms:created xsi:type="dcterms:W3CDTF">2026-09-29T09:46:30.761Z</dcterms:created>
  <dcterms:modified xsi:type="dcterms:W3CDTF">2026-09-29T09:46:30.761Z</dcterms:modified>
  <dc:language>en-GB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