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</w:pPr>
      <w:r>
        <w:rPr>
          <w:rFonts w:ascii="Calibri" w:cs="Calibri" w:eastAsia="Calibri" w:hAnsi="Calibri"/>
          <w:b/>
          <w:bCs/>
          <w:color w:val="993556"/>
          <w:sz w:val="52"/>
          <w:szCs w:val="52"/>
        </w:rPr>
        <w:t xml:space="preserve">The Socratic Dialogue</w:t>
      </w:r>
    </w:p>
    <w:p>
      <w:r>
        <w:rPr>
          <w:rFonts w:ascii="Calibri" w:cs="Calibri" w:eastAsia="Calibri" w:hAnsi="Calibri"/>
          <w:i/>
          <w:iCs/>
          <w:color w:val="5f5e5a"/>
          <w:sz w:val="22"/>
          <w:szCs w:val="22"/>
        </w:rPr>
        <w:t xml:space="preserve">Workshop 3 hours — Higher Education  |  Lecturer guide + participant materials</w:t>
      </w:r>
    </w:p>
    <w:p>
      <w:pPr>
        <w:spacing w:after="200" w:before="0"/>
      </w:pPr>
      <w:r>
        <w:t xml:space="preserve"/>
      </w:r>
    </w:p>
    <w:tbl>
      <w:tblPr>
        <w:tblW w:type="dxa" w:w="13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38"/>
      </w:tblGrid>
      <w:tr>
        <w:tc>
          <w:tcPr>
            <w:tcW w:type="dxa" w:w="138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2F0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93556"/>
                <w:sz w:val="22"/>
                <w:szCs w:val="22"/>
              </w:rPr>
              <w:t xml:space="preserve">What is the Socratic Dialogue?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The Socratic dialogue is a philosophical group conversation. We do not talk to persuade — but to understand. Through sharp, open questions we uncover the assumptions and principles that drive our actions. Not quick answers, but slow understanding.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2744"/>
                <w:sz w:val="20"/>
                <w:szCs w:val="20"/>
              </w:rPr>
              <w:t xml:space="preserve">This guide moves through the entire Model of Moral Craftsmanship in one session — from Seeing to Persisting.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13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38"/>
      </w:tblGrid>
      <w:tr>
        <w:tc>
          <w:tcPr>
            <w:tcW w:type="dxa" w:w="13838"/>
            <w:tcBorders>
              <w:top w:val="none" w:color="FFFFFF" w:sz="0"/>
              <w:left w:val="single" w:color="993556" w:sz="12"/>
              <w:bottom w:val="none" w:color="FFFFFF" w:sz="0"/>
              <w:right w:val="none" w:color="FFFFFF" w:sz="0"/>
            </w:tcBorders>
            <w:shd w:fill="F2F0EC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3556"/>
                <w:sz w:val="20"/>
                <w:szCs w:val="20"/>
              </w:rPr>
              <w:t xml:space="preserve">💬  Tip: </w:t>
            </w:r>
            <w:r>
              <w:rPr>
                <w:rFonts w:ascii="Calibri" w:cs="Calibri" w:eastAsia="Calibri" w:hAnsi="Calibri"/>
                <w:i/>
                <w:iCs/>
                <w:color w:val="5f5e5a"/>
                <w:sz w:val="20"/>
                <w:szCs w:val="20"/>
              </w:rPr>
              <w:t xml:space="preserve">Combine this guide with a conversation card as a starting point (Step 1 — Seeing) or with MV_13 (Good Reasons) as a follow-up to the inquiry (Step 3 — Weighing).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993556" w:sz="4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993556"/>
          <w:sz w:val="26"/>
          <w:szCs w:val="26"/>
        </w:rPr>
        <w:t xml:space="preserve">Learning objectives</w:t>
      </w:r>
    </w:p>
    <w:p>
      <w:pPr>
        <w:spacing w:after="80"/>
      </w:pPr>
      <w:r>
        <w:rPr>
          <w:rFonts w:ascii="Calibri" w:cs="Calibri" w:eastAsia="Calibri" w:hAnsi="Calibri"/>
          <w:color w:val="1a2744"/>
          <w:sz w:val="20"/>
          <w:szCs w:val="20"/>
        </w:rPr>
        <w:t xml:space="preserve">By the end of the workshop, participants can: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2744"/>
          <w:sz w:val="19"/>
          <w:szCs w:val="19"/>
        </w:rPr>
        <w:t xml:space="preserve">explain what a Socratic dialogue is — and what it is not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2744"/>
          <w:sz w:val="19"/>
          <w:szCs w:val="19"/>
        </w:rPr>
        <w:t xml:space="preserve">recognise and formulate a Socratic question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2744"/>
          <w:sz w:val="19"/>
          <w:szCs w:val="19"/>
        </w:rPr>
        <w:t xml:space="preserve">apply the Socratic stance: suspend judgement, listen, ask further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2744"/>
          <w:sz w:val="19"/>
          <w:szCs w:val="19"/>
        </w:rPr>
        <w:t xml:space="preserve">facilitate and participate in a basic Socratic dialogue</w:t>
      </w:r>
    </w:p>
    <w:p>
      <w:pPr>
        <w:spacing w:after="200" w:before="0"/>
      </w:pPr>
      <w:r>
        <w:t xml:space="preserve"/>
      </w:r>
    </w:p>
    <w:p>
      <w:pPr>
        <w:pBdr>
          <w:bottom w:val="single" w:color="993556" w:sz="4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993556"/>
          <w:sz w:val="26"/>
          <w:szCs w:val="26"/>
        </w:rPr>
        <w:t xml:space="preserve">Connection to the Model of Moral Craftsmanship</w:t>
      </w:r>
    </w:p>
    <w:p>
      <w:pPr>
        <w:spacing w:after="160"/>
      </w:pPr>
      <w:r>
        <w:rPr>
          <w:rFonts w:ascii="Calibri" w:cs="Calibri" w:eastAsia="Calibri" w:hAnsi="Calibri"/>
          <w:color w:val="1a2744"/>
          <w:sz w:val="20"/>
          <w:szCs w:val="20"/>
        </w:rPr>
        <w:t xml:space="preserve">The Socratic dialogue moves through all five steps of the model in one session. The three foundations of the method map directly onto Seeing, Feeling and Weighing:</w:t>
      </w:r>
    </w:p>
    <w:tbl>
      <w:tblPr>
        <w:tblW w:type="dxa" w:w="13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00"/>
        <w:gridCol w:w="4838"/>
      </w:tblGrid>
      <w:tr>
        <w:trPr>
          <w:tblHeader/>
        </w:trP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Socratic step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Foundation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 step</w:t>
            </w:r>
          </w:p>
        </w:tc>
        <w:tc>
          <w:tcPr>
            <w:tcW w:type="dxa" w:w="48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Central question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 Question + The Case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2744"/>
                <w:sz w:val="18"/>
                <w:szCs w:val="18"/>
              </w:rPr>
              <w:t xml:space="preserve">Concrete Experience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1. Seeing</w:t>
            </w:r>
          </w:p>
        </w:tc>
        <w:tc>
          <w:tcPr>
            <w:tcW w:type="dxa" w:w="48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f5e5a"/>
                <w:sz w:val="18"/>
                <w:szCs w:val="18"/>
              </w:rPr>
              <w:t xml:space="preserve">What is really happening here?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854f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 Empathy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2744"/>
                <w:sz w:val="18"/>
                <w:szCs w:val="18"/>
              </w:rPr>
              <w:t xml:space="preserve">Heat of Desires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54f0b"/>
                <w:sz w:val="18"/>
                <w:szCs w:val="18"/>
              </w:rPr>
              <w:t xml:space="preserve">2. Feeling</w:t>
            </w:r>
          </w:p>
        </w:tc>
        <w:tc>
          <w:tcPr>
            <w:tcW w:type="dxa" w:w="48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f5e5a"/>
                <w:sz w:val="18"/>
                <w:szCs w:val="18"/>
              </w:rPr>
              <w:t xml:space="preserve">Where do I feel moral discomfort?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5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 Inquiry + Core Statement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2744"/>
                <w:sz w:val="18"/>
                <w:szCs w:val="18"/>
              </w:rPr>
              <w:t xml:space="preserve">Regressive Abstraction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3556"/>
                <w:sz w:val="18"/>
                <w:szCs w:val="18"/>
              </w:rPr>
              <w:t xml:space="preserve">3. Weighing</w:t>
            </w:r>
          </w:p>
        </w:tc>
        <w:tc>
          <w:tcPr>
            <w:tcW w:type="dxa" w:w="48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f5e5a"/>
                <w:sz w:val="18"/>
                <w:szCs w:val="18"/>
              </w:rPr>
              <w:t xml:space="preserve">What is in conflict — which principle are we applying?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 Universals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2744"/>
                <w:sz w:val="18"/>
                <w:szCs w:val="18"/>
              </w:rPr>
              <w:t xml:space="preserve">→ What applies to the profession?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6e56"/>
                <w:sz w:val="18"/>
                <w:szCs w:val="18"/>
              </w:rPr>
              <w:t xml:space="preserve">4. Acting</w:t>
            </w:r>
          </w:p>
        </w:tc>
        <w:tc>
          <w:tcPr>
            <w:tcW w:type="dxa" w:w="48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f5e5a"/>
                <w:sz w:val="18"/>
                <w:szCs w:val="18"/>
              </w:rPr>
              <w:t xml:space="preserve">What does this ask of me as a professional?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c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Plenary reflection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2744"/>
                <w:sz w:val="18"/>
                <w:szCs w:val="18"/>
              </w:rPr>
              <w:t xml:space="preserve">→ What do I take away?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3c1d"/>
                <w:sz w:val="18"/>
                <w:szCs w:val="18"/>
              </w:rPr>
              <w:t xml:space="preserve">5. Persisting</w:t>
            </w:r>
          </w:p>
        </w:tc>
        <w:tc>
          <w:tcPr>
            <w:tcW w:type="dxa" w:w="48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f5e5a"/>
                <w:sz w:val="18"/>
                <w:szCs w:val="18"/>
              </w:rPr>
              <w:t xml:space="preserve">Which course do I want to hold?</w:t>
            </w:r>
          </w:p>
        </w:tc>
      </w:tr>
    </w:tbl>
    <w:p>
      <w:pPr>
        <w:spacing w:after="280" w:before="0"/>
      </w:pPr>
      <w:r>
        <w:t xml:space="preserve"/>
      </w:r>
    </w:p>
    <w:p>
      <w:r>
        <w:br w:type="page"/>
      </w:r>
    </w:p>
    <w:p>
      <w:pPr>
        <w:pBdr>
          <w:bottom w:val="single" w:color="993556" w:sz="4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993556"/>
          <w:sz w:val="26"/>
          <w:szCs w:val="26"/>
        </w:rPr>
        <w:t xml:space="preserve">The three foundations of the method</w:t>
      </w:r>
    </w:p>
    <w:p>
      <w:pPr>
        <w:spacing w:after="80" w:before="0"/>
      </w:pPr>
      <w:r>
        <w:t xml:space="preserve"/>
      </w:r>
    </w:p>
    <w:tbl>
      <w:tblPr>
        <w:tblW w:type="dxa" w:w="13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38"/>
      </w:tblGrid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
Seeing</w:t>
            </w:r>
          </w:p>
        </w:tc>
        <w:tc>
          <w:tcPr>
            <w:tcW w:type="dxa" w:w="130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85fa5"/>
                <w:sz w:val="20"/>
                <w:szCs w:val="20"/>
              </w:rPr>
              <w:t xml:space="preserve">Concrete Experience — begin with a specific moment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2744"/>
                <w:sz w:val="19"/>
                <w:szCs w:val="19"/>
              </w:rPr>
              <w:t xml:space="preserve">We do not talk in abstractions. We start with a specific moment in which someone genuinely doubted or felt something was wrong. The case-giver describes exactly what happened — not what they think about it in retrospect.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5fa5"/>
                <w:sz w:val="19"/>
                <w:szCs w:val="19"/>
              </w:rPr>
              <w:t xml:space="preserve">Example: </w:t>
            </w:r>
            <w:r>
              <w:rPr>
                <w:rFonts w:ascii="Calibri" w:cs="Calibri" w:eastAsia="Calibri" w:hAnsi="Calibri"/>
                <w:i/>
                <w:iCs/>
                <w:color w:val="5f5e5a"/>
                <w:sz w:val="19"/>
                <w:szCs w:val="19"/>
              </w:rPr>
              <w:t xml:space="preserve">Not "what is good care?", but "what happened yesterday when I could not bring myself to tell Mr Johnson the truth?"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13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38"/>
      </w:tblGrid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854f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
Feeling</w:t>
            </w:r>
          </w:p>
        </w:tc>
        <w:tc>
          <w:tcPr>
            <w:tcW w:type="dxa" w:w="130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3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54f0b"/>
                <w:sz w:val="20"/>
                <w:szCs w:val="20"/>
              </w:rPr>
              <w:t xml:space="preserve">Heat of Desires — empathise with the emotional weight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2744"/>
                <w:sz w:val="19"/>
                <w:szCs w:val="19"/>
              </w:rPr>
              <w:t xml:space="preserve">Participants try to empathise with the case-giver. What do you feel in that situation? What are your impulses? This helps to understand the emotional weight before we start to rationalise.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854f0b"/>
                <w:sz w:val="19"/>
                <w:szCs w:val="19"/>
              </w:rPr>
              <w:t xml:space="preserve">Central question: </w:t>
            </w:r>
            <w:r>
              <w:rPr>
                <w:rFonts w:ascii="Calibri" w:cs="Calibri" w:eastAsia="Calibri" w:hAnsi="Calibri"/>
                <w:i/>
                <w:iCs/>
                <w:color w:val="5f5e5a"/>
                <w:sz w:val="19"/>
                <w:szCs w:val="19"/>
              </w:rPr>
              <w:t xml:space="preserve">Where do I feel moral discomfort — and what does that say about my inner compass?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13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38"/>
      </w:tblGrid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5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
Weighing</w:t>
            </w:r>
          </w:p>
        </w:tc>
        <w:tc>
          <w:tcPr>
            <w:tcW w:type="dxa" w:w="130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E8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93556"/>
                <w:sz w:val="20"/>
                <w:szCs w:val="20"/>
              </w:rPr>
              <w:t xml:space="preserve">Regressive Abstraction — think back to the underlying principle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2744"/>
                <w:sz w:val="19"/>
                <w:szCs w:val="19"/>
              </w:rPr>
              <w:t xml:space="preserve">This is the core method. We think "backwards": from the action in the case, we search for the general rule we were unconsciously applying. Which principle drove this behaviour — and is that principle appropriate here?</w:t>
            </w:r>
          </w:p>
          <w:p>
            <w:r>
              <w:rPr>
                <w:rFonts w:ascii="Calibri" w:cs="Calibri" w:eastAsia="Calibri" w:hAnsi="Calibri"/>
                <w:b/>
                <w:bCs/>
                <w:color w:val="993556"/>
                <w:sz w:val="19"/>
                <w:szCs w:val="19"/>
              </w:rPr>
              <w:t xml:space="preserve">Central question: </w:t>
            </w:r>
            <w:r>
              <w:rPr>
                <w:rFonts w:ascii="Calibri" w:cs="Calibri" w:eastAsia="Calibri" w:hAnsi="Calibri"/>
                <w:i/>
                <w:iCs/>
                <w:color w:val="5f5e5a"/>
                <w:sz w:val="19"/>
                <w:szCs w:val="19"/>
              </w:rPr>
              <w:t xml:space="preserve">Which principle are we unconsciously applying here — and does it conflict with others?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993556" w:sz="4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993556"/>
          <w:sz w:val="26"/>
          <w:szCs w:val="26"/>
        </w:rPr>
        <w:t xml:space="preserve">The Socratic stance — not-knowing</w:t>
      </w:r>
    </w:p>
    <w:p>
      <w:pPr>
        <w:spacing w:after="120"/>
      </w:pPr>
      <w:r>
        <w:rPr>
          <w:rFonts w:ascii="Calibri" w:cs="Calibri" w:eastAsia="Calibri" w:hAnsi="Calibri"/>
          <w:color w:val="1a2744"/>
          <w:sz w:val="20"/>
          <w:szCs w:val="20"/>
        </w:rPr>
        <w:t xml:space="preserve">A Socratic dialogue requires a specific intellectual stance. Three characteristics:</w:t>
      </w:r>
    </w:p>
    <w:tbl>
      <w:tblPr>
        <w:tblW w:type="dxa" w:w="13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12"/>
        <w:gridCol w:w="4612"/>
        <w:gridCol w:w="4614"/>
      </w:tblGrid>
      <w:tr>
        <w:tc>
          <w:tcPr>
            <w:tcW w:type="dxa" w:w="4612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2F0E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93556"/>
                <w:sz w:val="19"/>
                <w:szCs w:val="19"/>
              </w:rPr>
              <w:t xml:space="preserve">Suspending judgement</w:t>
            </w:r>
          </w:p>
          <w:p>
            <w:r>
              <w:rPr>
                <w:rFonts w:ascii="Calibri" w:cs="Calibri" w:eastAsia="Calibri" w:hAnsi="Calibri"/>
                <w:color w:val="1a2744"/>
                <w:sz w:val="18"/>
                <w:szCs w:val="18"/>
              </w:rPr>
              <w:t xml:space="preserve">Park your own opinion and solutions. You are there to understand — not to advise or persuade.</w:t>
            </w:r>
          </w:p>
        </w:tc>
        <w:tc>
          <w:tcPr>
            <w:tcW w:type="dxa" w:w="4612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2F0E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93556"/>
                <w:sz w:val="19"/>
                <w:szCs w:val="19"/>
              </w:rPr>
              <w:t xml:space="preserve">Tolerating uncertainty</w:t>
            </w:r>
          </w:p>
          <w:p>
            <w:r>
              <w:rPr>
                <w:rFonts w:ascii="Calibri" w:cs="Calibri" w:eastAsia="Calibri" w:hAnsi="Calibri"/>
                <w:color w:val="1a2744"/>
                <w:sz w:val="18"/>
                <w:szCs w:val="18"/>
              </w:rPr>
              <w:t xml:space="preserve">Accept that there is no immediate answer. The conversation ends not with a conclusion — but with greater clarity.</w:t>
            </w:r>
          </w:p>
        </w:tc>
        <w:tc>
          <w:tcPr>
            <w:tcW w:type="dxa" w:w="461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2F0E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93556"/>
                <w:sz w:val="19"/>
                <w:szCs w:val="19"/>
              </w:rPr>
              <w:t xml:space="preserve">Listening for what is not said</w:t>
            </w:r>
          </w:p>
          <w:p>
            <w:r>
              <w:rPr>
                <w:rFonts w:ascii="Calibri" w:cs="Calibri" w:eastAsia="Calibri" w:hAnsi="Calibri"/>
                <w:color w:val="1a2744"/>
                <w:sz w:val="18"/>
                <w:szCs w:val="18"/>
              </w:rPr>
              <w:t xml:space="preserve">What assumption lies beneath what the other person is saying? Ask further about what seems self-evident.</w:t>
            </w:r>
          </w:p>
        </w:tc>
      </w:tr>
    </w:tbl>
    <w:p>
      <w:pPr>
        <w:spacing w:after="280" w:before="0"/>
      </w:pPr>
      <w:r>
        <w:t xml:space="preserve"/>
      </w:r>
    </w:p>
    <w:p>
      <w:r>
        <w:br w:type="page"/>
      </w:r>
    </w:p>
    <w:p>
      <w:pPr>
        <w:pBdr>
          <w:bottom w:val="single" w:color="993556" w:sz="4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993556"/>
          <w:sz w:val="26"/>
          <w:szCs w:val="26"/>
        </w:rPr>
        <w:t xml:space="preserve">Workshop structure — 3 hours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f5e5a"/>
          <w:sz w:val="20"/>
          <w:szCs w:val="20"/>
        </w:rPr>
        <w:t xml:space="preserve">Five phases, each connected to a step of the Model of Moral Craftsmanship.</w:t>
      </w:r>
    </w:p>
    <w:tbl>
      <w:tblPr>
        <w:tblW w:type="dxa" w:w="13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38"/>
      </w:tblGrid>
      <w:tr>
        <w:tc>
          <w:tcPr>
            <w:tcW w:type="dxa" w:w="138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👁  Phase 1 — Introduction and explanation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     ⏱ 30 minutes</w:t>
            </w:r>
          </w:p>
        </w:tc>
      </w:tr>
      <w:tr>
        <w:tc>
          <w:tcPr>
            <w:tcW w:type="dxa" w:w="138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85fa5"/>
                <w:sz w:val="19"/>
                <w:szCs w:val="19"/>
              </w:rPr>
              <w:t xml:space="preserve">Model step: </w:t>
            </w:r>
            <w:r>
              <w:rPr>
                <w:rFonts w:ascii="Calibri" w:cs="Calibri" w:eastAsia="Calibri" w:hAnsi="Calibri"/>
                <w:i/>
                <w:iCs/>
                <w:color w:val="1a2744"/>
                <w:sz w:val="19"/>
                <w:szCs w:val="19"/>
              </w:rPr>
              <w:t xml:space="preserve">Seeing — What is really going on?</w:t>
            </w:r>
          </w:p>
          <w:tbl>
            <w:tblPr>
              <w:tblW w:type="dxa" w:w="138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838"/>
            </w:tblGrid>
            <w:tr>
              <w:tc>
                <w:tcPr>
                  <w:tcW w:type="dxa" w:w="13838"/>
                  <w:tcBorders>
                    <w:top w:val="single" w:color="1a2744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0EC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after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2744"/>
                      <w:sz w:val="19"/>
                      <w:szCs w:val="19"/>
                    </w:rPr>
                    <w:t xml:space="preserve">👨‍🏫  Lecturer instruction</w:t>
                  </w:r>
                </w:p>
                <w:p>
                  <w:pPr>
                    <w:spacing w:after="80"/>
                  </w:pPr>
                  <w:r>
                    <w:rPr>
                      <w:rFonts w:ascii="Calibri" w:cs="Calibri" w:eastAsia="Calibri" w:hAnsi="Calibri"/>
                      <w:color w:val="1a2744"/>
                      <w:sz w:val="19"/>
                      <w:szCs w:val="19"/>
                    </w:rPr>
                    <w:t xml:space="preserve">Explain what a Socratic dialogue is and what it is not (not a debate, not a discussion, not a coaching session). Introduce the Socratic stance and the five-step structure: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before="40"/>
                  </w:pPr>
                  <w:r>
                    <w:rPr>
                      <w:rFonts w:ascii="Calibri" w:cs="Calibri" w:eastAsia="Calibri" w:hAnsi="Calibri"/>
                      <w:color w:val="1a2744"/>
                      <w:sz w:val="19"/>
                      <w:szCs w:val="19"/>
                    </w:rPr>
                    <w:t xml:space="preserve">Formulate an open, fundamental question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before="40"/>
                  </w:pPr>
                  <w:r>
                    <w:rPr>
                      <w:rFonts w:ascii="Calibri" w:cs="Calibri" w:eastAsia="Calibri" w:hAnsi="Calibri"/>
                      <w:color w:val="1a2744"/>
                      <w:sz w:val="19"/>
                      <w:szCs w:val="19"/>
                    </w:rPr>
                    <w:t xml:space="preserve">Choose one concrete experience as starting point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before="40"/>
                  </w:pPr>
                  <w:r>
                    <w:rPr>
                      <w:rFonts w:ascii="Calibri" w:cs="Calibri" w:eastAsia="Calibri" w:hAnsi="Calibri"/>
                      <w:color w:val="1a2744"/>
                      <w:sz w:val="19"/>
                      <w:szCs w:val="19"/>
                    </w:rPr>
                    <w:t xml:space="preserve">Clarify concepts and assumptions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before="40"/>
                  </w:pPr>
                  <w:r>
                    <w:rPr>
                      <w:rFonts w:ascii="Calibri" w:cs="Calibri" w:eastAsia="Calibri" w:hAnsi="Calibri"/>
                      <w:color w:val="1a2744"/>
                      <w:sz w:val="19"/>
                      <w:szCs w:val="19"/>
                    </w:rPr>
                    <w:t xml:space="preserve">Inquire together through sustained questioning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40" w:before="40"/>
                  </w:pPr>
                  <w:r>
                    <w:rPr>
                      <w:rFonts w:ascii="Calibri" w:cs="Calibri" w:eastAsia="Calibri" w:hAnsi="Calibri"/>
                      <w:color w:val="1a2744"/>
                      <w:sz w:val="19"/>
                      <w:szCs w:val="19"/>
                    </w:rPr>
                    <w:t xml:space="preserve">Close without conclusion — with an open question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85fa5"/>
                <w:sz w:val="19"/>
                <w:szCs w:val="19"/>
              </w:rPr>
              <w:t xml:space="preserve">Example questions for the group: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a2744"/>
                <w:sz w:val="19"/>
                <w:szCs w:val="19"/>
              </w:rPr>
              <w:t xml:space="preserve">"When are you acting with integrity in your work?"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a2744"/>
                <w:sz w:val="19"/>
                <w:szCs w:val="19"/>
              </w:rPr>
              <w:t xml:space="preserve">"What does professional responsibility mean to you?"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a2744"/>
                <w:sz w:val="19"/>
                <w:szCs w:val="19"/>
              </w:rPr>
              <w:t xml:space="preserve">"When do you act justly — even when it is difficult?"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13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38"/>
      </w:tblGrid>
      <w:tr>
        <w:tc>
          <w:tcPr>
            <w:tcW w:type="dxa" w:w="138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854f0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🎬  Phase 2 — Demonstration by lecturer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     ⏱ 30 minutes</w:t>
            </w:r>
          </w:p>
        </w:tc>
      </w:tr>
      <w:tr>
        <w:tc>
          <w:tcPr>
            <w:tcW w:type="dxa" w:w="138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854f0b"/>
                <w:sz w:val="19"/>
                <w:szCs w:val="19"/>
              </w:rPr>
              <w:t xml:space="preserve">Model step: </w:t>
            </w:r>
            <w:r>
              <w:rPr>
                <w:rFonts w:ascii="Calibri" w:cs="Calibri" w:eastAsia="Calibri" w:hAnsi="Calibri"/>
                <w:i/>
                <w:iCs/>
                <w:color w:val="1a2744"/>
                <w:sz w:val="19"/>
                <w:szCs w:val="19"/>
              </w:rPr>
              <w:t xml:space="preserve">Feeling — What touches you? What do you feel before you reason?</w:t>
            </w:r>
          </w:p>
          <w:tbl>
            <w:tblPr>
              <w:tblW w:type="dxa" w:w="138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838"/>
            </w:tblGrid>
            <w:tr>
              <w:tc>
                <w:tcPr>
                  <w:tcW w:type="dxa" w:w="13838"/>
                  <w:tcBorders>
                    <w:top w:val="single" w:color="1a2744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0EC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after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2744"/>
                      <w:sz w:val="19"/>
                      <w:szCs w:val="19"/>
                    </w:rPr>
                    <w:t xml:space="preserve">👨‍🏫  Lecturer instruction</w:t>
                  </w:r>
                </w:p>
                <w:p>
                  <w:r>
                    <w:rPr>
                      <w:rFonts w:ascii="Calibri" w:cs="Calibri" w:eastAsia="Calibri" w:hAnsi="Calibri"/>
                      <w:color w:val="1a2744"/>
                      <w:sz w:val="19"/>
                      <w:szCs w:val="19"/>
                    </w:rPr>
                    <w:t xml:space="preserve">Demonstrate a Socratic dialogue as facilitator. One participant brings in a concrete experience. Ask only open questions — give no answers, no judgements, no advice. Think aloud when choosing a follow-up question.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tbl>
            <w:tblPr>
              <w:tblW w:type="dxa" w:w="138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838"/>
            </w:tblGrid>
            <w:tr>
              <w:tc>
                <w:tcPr>
                  <w:tcW w:type="dxa" w:w="13838"/>
                  <w:tcBorders>
                    <w:top w:val="single" w:color="534ab7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DF8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after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34ab7"/>
                      <w:sz w:val="19"/>
                      <w:szCs w:val="19"/>
                    </w:rPr>
                    <w:t xml:space="preserve">👥  Participant task</w:t>
                  </w:r>
                </w:p>
                <w:p>
                  <w:pPr>
                    <w:spacing w:after="80"/>
                  </w:pPr>
                  <w:r>
                    <w:rPr>
                      <w:rFonts w:ascii="Calibri" w:cs="Calibri" w:eastAsia="Calibri" w:hAnsi="Calibri"/>
                      <w:color w:val="1a2744"/>
                      <w:sz w:val="19"/>
                      <w:szCs w:val="19"/>
                    </w:rPr>
                    <w:t xml:space="preserve">Observe the dialogue and note: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Calibri" w:cs="Calibri" w:eastAsia="Calibri" w:hAnsi="Calibri"/>
                      <w:color w:val="1a2744"/>
                      <w:sz w:val="19"/>
                      <w:szCs w:val="19"/>
                    </w:rPr>
                    <w:t xml:space="preserve">Which questions create slowing down and deepening?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Calibri" w:cs="Calibri" w:eastAsia="Calibri" w:hAnsi="Calibri"/>
                      <w:color w:val="1a2744"/>
                      <w:sz w:val="19"/>
                      <w:szCs w:val="19"/>
                    </w:rPr>
                    <w:t xml:space="preserve">At what moment does the lecturer not intervene — and why probably not?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Calibri" w:cs="Calibri" w:eastAsia="Calibri" w:hAnsi="Calibri"/>
                      <w:color w:val="1a2744"/>
                      <w:sz w:val="19"/>
                      <w:szCs w:val="19"/>
                    </w:rPr>
                    <w:t xml:space="preserve">How does "not-knowing" become visible in the facilitator's behaviour?</w:t>
                  </w:r>
                </w:p>
                <w:p>
                  <w:pPr>
                    <w:spacing w:before="8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f5e5a"/>
                      <w:sz w:val="19"/>
                      <w:szCs w:val="19"/>
                    </w:rPr>
                    <w:t xml:space="preserve">My observation: _______________________________________________</w:t>
                  </w:r>
                </w:p>
              </w:tc>
            </w:tr>
          </w:tbl>
          <w:p/>
        </w:tc>
      </w:tr>
    </w:tbl>
    <w:p>
      <w:pPr>
        <w:spacing w:after="180" w:before="0"/>
      </w:pPr>
      <w:r>
        <w:t xml:space="preserve"/>
      </w:r>
    </w:p>
    <w:tbl>
      <w:tblPr>
        <w:tblW w:type="dxa" w:w="13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38"/>
      </w:tblGrid>
      <w:tr>
        <w:tc>
          <w:tcPr>
            <w:tcW w:type="dxa" w:w="138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55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🔍  Phase 3 — Practising together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     ⏱ 45 minutes</w:t>
            </w:r>
          </w:p>
        </w:tc>
      </w:tr>
      <w:tr>
        <w:tc>
          <w:tcPr>
            <w:tcW w:type="dxa" w:w="138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993556"/>
                <w:sz w:val="19"/>
                <w:szCs w:val="19"/>
              </w:rPr>
              <w:t xml:space="preserve">Model step: </w:t>
            </w:r>
            <w:r>
              <w:rPr>
                <w:rFonts w:ascii="Calibri" w:cs="Calibri" w:eastAsia="Calibri" w:hAnsi="Calibri"/>
                <w:i/>
                <w:iCs/>
                <w:color w:val="1a2744"/>
                <w:sz w:val="19"/>
                <w:szCs w:val="19"/>
              </w:rPr>
              <w:t xml:space="preserve">Weighing — What is in conflict? Which principles lie beneath?</w:t>
            </w:r>
          </w:p>
          <w:tbl>
            <w:tblPr>
              <w:tblW w:type="dxa" w:w="138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838"/>
            </w:tblGrid>
            <w:tr>
              <w:tc>
                <w:tcPr>
                  <w:tcW w:type="dxa" w:w="13838"/>
                  <w:tcBorders>
                    <w:top w:val="single" w:color="1a2744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0EC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after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2744"/>
                      <w:sz w:val="19"/>
                      <w:szCs w:val="19"/>
                    </w:rPr>
                    <w:t xml:space="preserve">👨‍🏫  Lecturer instruction</w:t>
                  </w:r>
                </w:p>
                <w:p>
                  <w:r>
                    <w:rPr>
                      <w:rFonts w:ascii="Calibri" w:cs="Calibri" w:eastAsia="Calibri" w:hAnsi="Calibri"/>
                      <w:color w:val="1a2744"/>
                      <w:sz w:val="19"/>
                      <w:szCs w:val="19"/>
                    </w:rPr>
                    <w:t xml:space="preserve">Facilitate a plenary Socratic dialogue. Guard the process: intervene if the conversation turns into debate or discussion. Use the core method of regressive abstraction: "Which general rule were you unconsciously applying here?"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tbl>
            <w:tblPr>
              <w:tblW w:type="dxa" w:w="138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838"/>
            </w:tblGrid>
            <w:tr>
              <w:tc>
                <w:tcPr>
                  <w:tcW w:type="dxa" w:w="13838"/>
                  <w:tcBorders>
                    <w:top w:val="single" w:color="534ab7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DF8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after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34ab7"/>
                      <w:sz w:val="19"/>
                      <w:szCs w:val="19"/>
                    </w:rPr>
                    <w:t xml:space="preserve">👥  Participant task</w:t>
                  </w:r>
                </w:p>
                <w:p>
                  <w:pPr>
                    <w:spacing w:after="80"/>
                  </w:pPr>
                  <w:r>
                    <w:rPr>
                      <w:rFonts w:ascii="Calibri" w:cs="Calibri" w:eastAsia="Calibri" w:hAnsi="Calibri"/>
                      <w:color w:val="1a2744"/>
                      <w:sz w:val="19"/>
                      <w:szCs w:val="19"/>
                    </w:rPr>
                    <w:t xml:space="preserve">Ask at least one Socratic follow-up question. Use these examples as inspiration: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Calibri" w:cs="Calibri" w:eastAsia="Calibri" w:hAnsi="Calibri"/>
                      <w:color w:val="1a2744"/>
                      <w:sz w:val="19"/>
                      <w:szCs w:val="19"/>
                    </w:rPr>
                    <w:t xml:space="preserve">"What exactly do you mean by [concept]?"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Calibri" w:cs="Calibri" w:eastAsia="Calibri" w:hAnsi="Calibri"/>
                      <w:color w:val="1a2744"/>
                      <w:sz w:val="19"/>
                      <w:szCs w:val="19"/>
                    </w:rPr>
                    <w:t xml:space="preserve">"Can you name a specific moment when you experienced that?"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Calibri" w:cs="Calibri" w:eastAsia="Calibri" w:hAnsi="Calibri"/>
                      <w:color w:val="1a2744"/>
                      <w:sz w:val="19"/>
                      <w:szCs w:val="19"/>
                    </w:rPr>
                    <w:t xml:space="preserve">"What assumption lies beneath what you just said?"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Calibri" w:cs="Calibri" w:eastAsia="Calibri" w:hAnsi="Calibri"/>
                      <w:color w:val="1a2744"/>
                      <w:sz w:val="19"/>
                      <w:szCs w:val="19"/>
                    </w:rPr>
                    <w:t xml:space="preserve">"Does this always apply — or are there situations where you would act differently?"</w:t>
                  </w:r>
                </w:p>
                <w:p>
                  <w:pPr>
                    <w:spacing w:before="8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f5e5a"/>
                      <w:sz w:val="19"/>
                      <w:szCs w:val="19"/>
                    </w:rPr>
                    <w:t xml:space="preserve">My question to the group: _______________________________________________</w:t>
                  </w:r>
                </w:p>
              </w:tc>
            </w:tr>
          </w:tbl>
          <w:p/>
        </w:tc>
      </w:tr>
    </w:tbl>
    <w:p>
      <w:pPr>
        <w:spacing w:after="180" w:before="0"/>
      </w:pPr>
      <w:r>
        <w:t xml:space="preserve"/>
      </w:r>
    </w:p>
    <w:tbl>
      <w:tblPr>
        <w:tblW w:type="dxa" w:w="13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38"/>
      </w:tblGrid>
      <w:tr>
        <w:tc>
          <w:tcPr>
            <w:tcW w:type="dxa" w:w="138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👥  Phase 4 — Independent practice in subgroups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     ⏱ 60 minutes</w:t>
            </w:r>
          </w:p>
        </w:tc>
      </w:tr>
      <w:tr>
        <w:tc>
          <w:tcPr>
            <w:tcW w:type="dxa" w:w="138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9"/>
                <w:szCs w:val="19"/>
              </w:rPr>
              <w:t xml:space="preserve">Model step: </w:t>
            </w:r>
            <w:r>
              <w:rPr>
                <w:rFonts w:ascii="Calibri" w:cs="Calibri" w:eastAsia="Calibri" w:hAnsi="Calibri"/>
                <w:i/>
                <w:iCs/>
                <w:color w:val="1a2744"/>
                <w:sz w:val="19"/>
                <w:szCs w:val="19"/>
              </w:rPr>
              <w:t xml:space="preserve">Acting — What does this ask of me as a professional?</w:t>
            </w:r>
          </w:p>
          <w:tbl>
            <w:tblPr>
              <w:tblW w:type="dxa" w:w="138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838"/>
            </w:tblGrid>
            <w:tr>
              <w:tc>
                <w:tcPr>
                  <w:tcW w:type="dxa" w:w="13838"/>
                  <w:tcBorders>
                    <w:top w:val="single" w:color="1a2744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0EC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after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2744"/>
                      <w:sz w:val="19"/>
                      <w:szCs w:val="19"/>
                    </w:rPr>
                    <w:t xml:space="preserve">👨‍🏫  Lecturer instruction</w:t>
                  </w:r>
                </w:p>
                <w:p>
                  <w:r>
                    <w:rPr>
                      <w:rFonts w:ascii="Calibri" w:cs="Calibri" w:eastAsia="Calibri" w:hAnsi="Calibri"/>
                      <w:color w:val="1a2744"/>
                      <w:sz w:val="19"/>
                      <w:szCs w:val="19"/>
                    </w:rPr>
                    <w:t xml:space="preserve">Divide the group into subgroups of 4–6. Each group conducts a Socratic dialogue independently. After 30 minutes, rotate roles. Observe and intervene only for serious process problems (debate, drift, stagnation).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tbl>
            <w:tblPr>
              <w:tblW w:type="dxa" w:w="138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838"/>
            </w:tblGrid>
            <w:tr>
              <w:tc>
                <w:tcPr>
                  <w:tcW w:type="dxa" w:w="13838"/>
                  <w:tcBorders>
                    <w:top w:val="single" w:color="534ab7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DF8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after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34ab7"/>
                      <w:sz w:val="19"/>
                      <w:szCs w:val="19"/>
                    </w:rPr>
                    <w:t xml:space="preserve">👥  Participant task</w:t>
                  </w:r>
                </w:p>
                <w:p>
                  <w:pPr>
                    <w:spacing w:after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6e56"/>
                      <w:sz w:val="19"/>
                      <w:szCs w:val="19"/>
                    </w:rPr>
                    <w:t xml:space="preserve">Role allocation per subgroup: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Calibri" w:cs="Calibri" w:eastAsia="Calibri" w:hAnsi="Calibri"/>
                      <w:color w:val="1a2744"/>
                      <w:sz w:val="19"/>
                      <w:szCs w:val="19"/>
                    </w:rPr>
                    <w:t xml:space="preserve">Facilitator — asks questions, guards the process, gives no answers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Calibri" w:cs="Calibri" w:eastAsia="Calibri" w:hAnsi="Calibri"/>
                      <w:color w:val="1a2744"/>
                      <w:sz w:val="19"/>
                      <w:szCs w:val="19"/>
                    </w:rPr>
                    <w:t xml:space="preserve">Case-giver — brings in a concrete experience and answers questions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Calibri" w:cs="Calibri" w:eastAsia="Calibri" w:hAnsi="Calibri"/>
                      <w:color w:val="1a2744"/>
                      <w:sz w:val="19"/>
                      <w:szCs w:val="19"/>
                    </w:rPr>
                    <w:t xml:space="preserve">Participants — ask Socratic questions, empathise, do not yet rationalise</w:t>
                  </w:r>
                </w:p>
                <w:p>
                  <w:pPr>
                    <w:spacing w:before="8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f5e5a"/>
                      <w:sz w:val="19"/>
                      <w:szCs w:val="19"/>
                    </w:rPr>
                    <w:t xml:space="preserve">Afterwards (individually): Which role was hardest — and why? _______________________________________________</w:t>
                  </w:r>
                </w:p>
              </w:tc>
            </w:tr>
          </w:tbl>
          <w:p/>
        </w:tc>
      </w:tr>
    </w:tbl>
    <w:p>
      <w:pPr>
        <w:spacing w:after="180" w:before="0"/>
      </w:pPr>
      <w:r>
        <w:t xml:space="preserve"/>
      </w:r>
    </w:p>
    <w:tbl>
      <w:tblPr>
        <w:tblW w:type="dxa" w:w="13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38"/>
      </w:tblGrid>
      <w:tr>
        <w:tc>
          <w:tcPr>
            <w:tcW w:type="dxa" w:w="138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c1d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🧭  Phase 5 — Plenary reflection and closing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     ⏱ 15 minutes</w:t>
            </w:r>
          </w:p>
        </w:tc>
      </w:tr>
      <w:tr>
        <w:tc>
          <w:tcPr>
            <w:tcW w:type="dxa" w:w="1383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993c1d"/>
                <w:sz w:val="19"/>
                <w:szCs w:val="19"/>
              </w:rPr>
              <w:t xml:space="preserve">Model step: </w:t>
            </w:r>
            <w:r>
              <w:rPr>
                <w:rFonts w:ascii="Calibri" w:cs="Calibri" w:eastAsia="Calibri" w:hAnsi="Calibri"/>
                <w:i/>
                <w:iCs/>
                <w:color w:val="1a2744"/>
                <w:sz w:val="19"/>
                <w:szCs w:val="19"/>
              </w:rPr>
              <w:t xml:space="preserve">Persisting — Which course do I want to hold?</w:t>
            </w:r>
          </w:p>
          <w:tbl>
            <w:tblPr>
              <w:tblW w:type="dxa" w:w="138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838"/>
            </w:tblGrid>
            <w:tr>
              <w:tc>
                <w:tcPr>
                  <w:tcW w:type="dxa" w:w="13838"/>
                  <w:tcBorders>
                    <w:top w:val="single" w:color="1a2744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0EC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after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2744"/>
                      <w:sz w:val="19"/>
                      <w:szCs w:val="19"/>
                    </w:rPr>
                    <w:t xml:space="preserve">👨‍🏫  Lecturer instruction</w:t>
                  </w:r>
                </w:p>
                <w:p>
                  <w:r>
                    <w:rPr>
                      <w:rFonts w:ascii="Calibri" w:cs="Calibri" w:eastAsia="Calibri" w:hAnsi="Calibri"/>
                      <w:color w:val="1a2744"/>
                      <w:sz w:val="19"/>
                      <w:szCs w:val="19"/>
                    </w:rPr>
                    <w:t xml:space="preserve">Close with an open question — give no summary or conclusion. Biesta: the beautiful risk is that you do not know what has grown. Let the silence work.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tbl>
            <w:tblPr>
              <w:tblW w:type="dxa" w:w="138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838"/>
            </w:tblGrid>
            <w:tr>
              <w:tc>
                <w:tcPr>
                  <w:tcW w:type="dxa" w:w="13838"/>
                  <w:tcBorders>
                    <w:top w:val="single" w:color="534ab7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DF8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after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34ab7"/>
                      <w:sz w:val="19"/>
                      <w:szCs w:val="19"/>
                    </w:rPr>
                    <w:t xml:space="preserve">👥  Participant task</w:t>
                  </w:r>
                </w:p>
                <w:p>
                  <w:pPr>
                    <w:spacing w:after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993c1d"/>
                      <w:sz w:val="19"/>
                      <w:szCs w:val="19"/>
                    </w:rPr>
                    <w:t xml:space="preserve">Plenary reflection questions: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Calibri" w:cs="Calibri" w:eastAsia="Calibri" w:hAnsi="Calibri"/>
                      <w:color w:val="1a2744"/>
                      <w:sz w:val="19"/>
                      <w:szCs w:val="19"/>
                    </w:rPr>
                    <w:t xml:space="preserve">What did you find most difficult — and what does that say about you?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Calibri" w:cs="Calibri" w:eastAsia="Calibri" w:hAnsi="Calibri"/>
                      <w:color w:val="1a2744"/>
                      <w:sz w:val="19"/>
                      <w:szCs w:val="19"/>
                    </w:rPr>
                    <w:t xml:space="preserve">When did the conversation feel genuinely Socratic — what made it so?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Calibri" w:cs="Calibri" w:eastAsia="Calibri" w:hAnsi="Calibri"/>
                      <w:color w:val="1a2744"/>
                      <w:sz w:val="19"/>
                      <w:szCs w:val="19"/>
                    </w:rPr>
                    <w:t xml:space="preserve">Where could you use this in your own professional practice?</w:t>
                  </w:r>
                </w:p>
                <w:p>
                  <w:pPr>
                    <w:spacing w:before="8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f5e5a"/>
                      <w:sz w:val="19"/>
                      <w:szCs w:val="19"/>
                    </w:rPr>
                    <w:t xml:space="preserve">Open question I take away: _______________________________________________</w:t>
                  </w:r>
                </w:p>
              </w:tc>
            </w:tr>
          </w:tbl>
          <w:p/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993556" w:sz="4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993556"/>
          <w:sz w:val="26"/>
          <w:szCs w:val="26"/>
        </w:rPr>
        <w:t xml:space="preserve">Materials and preparation</w:t>
      </w:r>
    </w:p>
    <w:tbl>
      <w:tblPr>
        <w:tblW w:type="dxa" w:w="13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19"/>
        <w:gridCol w:w="6919"/>
      </w:tblGrid>
      <w:tr>
        <w:tc>
          <w:tcPr>
            <w:tcW w:type="dxa" w:w="6919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2F0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993556"/>
                <w:sz w:val="19"/>
                <w:szCs w:val="19"/>
              </w:rPr>
              <w:t xml:space="preserve">Materials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744"/>
                <w:sz w:val="18"/>
                <w:szCs w:val="18"/>
              </w:rPr>
              <w:t xml:space="preserve">Chairs in a circle — no tables if possible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744"/>
                <w:sz w:val="18"/>
                <w:szCs w:val="18"/>
              </w:rPr>
              <w:t xml:space="preserve">Whiteboard or flipchart for key concepts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744"/>
                <w:sz w:val="18"/>
                <w:szCs w:val="18"/>
              </w:rPr>
              <w:t xml:space="preserve">Conversation card as optional starting point (Step 1 — Seeing)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744"/>
                <w:sz w:val="18"/>
                <w:szCs w:val="18"/>
              </w:rPr>
              <w:t xml:space="preserve">MV_13 Good Reasons as optional follow-up (Step 3 — Weighing)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744"/>
                <w:sz w:val="18"/>
                <w:szCs w:val="18"/>
              </w:rPr>
              <w:t xml:space="preserve">Visible time-keeping for all participants</w:t>
            </w:r>
          </w:p>
        </w:tc>
        <w:tc>
          <w:tcPr>
            <w:tcW w:type="dxa" w:w="6919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2F0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993556"/>
                <w:sz w:val="19"/>
                <w:szCs w:val="19"/>
              </w:rPr>
              <w:t xml:space="preserve">Preparation for the lecturer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744"/>
                <w:sz w:val="18"/>
                <w:szCs w:val="18"/>
              </w:rPr>
              <w:t xml:space="preserve">Select a fundamental question as your starting 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744"/>
                <w:sz w:val="18"/>
                <w:szCs w:val="18"/>
              </w:rPr>
              <w:t xml:space="preserve">Practise the Socratic stance: never ask a question that contains its own answer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744"/>
                <w:sz w:val="18"/>
                <w:szCs w:val="18"/>
              </w:rPr>
              <w:t xml:space="preserve">Be prepared not to know the answer — model not-knowing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744"/>
                <w:sz w:val="18"/>
                <w:szCs w:val="18"/>
              </w:rPr>
              <w:t xml:space="preserve">Prepare two or three fallback questions in case the dialogue stalls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744"/>
                <w:sz w:val="18"/>
                <w:szCs w:val="18"/>
              </w:rPr>
              <w:t xml:space="preserve">Decide in advance how you will handle stagnation or strong emotion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top w:val="single" w:color="D3D1C7" w:sz="2" w:space="6"/>
        </w:pBdr>
        <w:spacing w:after="60"/>
      </w:pPr>
      <w:r>
        <w:rPr>
          <w:rFonts w:ascii="Calibri" w:cs="Calibri" w:eastAsia="Calibri" w:hAnsi="Calibri"/>
          <w:b/>
          <w:bCs/>
          <w:color w:val="5f5e5a"/>
          <w:sz w:val="18"/>
          <w:szCs w:val="18"/>
        </w:rPr>
        <w:t xml:space="preserve">References</w:t>
      </w:r>
    </w:p>
    <w:p>
      <w:pPr>
        <w:spacing w:after="40"/>
      </w:pPr>
      <w:r>
        <w:rPr>
          <w:rFonts w:ascii="Calibri" w:cs="Calibri" w:eastAsia="Calibri" w:hAnsi="Calibri"/>
          <w:color w:val="5f5e5a"/>
          <w:sz w:val="18"/>
          <w:szCs w:val="18"/>
        </w:rPr>
        <w:t xml:space="preserve">The Socratic dialogue method is based on the philosophical tradition of Socrates and further developed by: </w:t>
      </w:r>
      <w:r>
        <w:rPr>
          <w:rFonts w:ascii="Calibri" w:cs="Calibri" w:eastAsia="Calibri" w:hAnsi="Calibri"/>
          <w:i/>
          <w:iCs/>
          <w:color w:val="5f5e5a"/>
          <w:sz w:val="18"/>
          <w:szCs w:val="18"/>
        </w:rPr>
        <w:t xml:space="preserve">Nelson, L. &amp; Heckmann, G. (1952). Socratic method and critical philosophy. </w:t>
      </w:r>
      <w:r>
        <w:rPr>
          <w:rFonts w:ascii="Calibri" w:cs="Calibri" w:eastAsia="Calibri" w:hAnsi="Calibri"/>
          <w:color w:val="5f5e5a"/>
          <w:sz w:val="18"/>
          <w:szCs w:val="18"/>
        </w:rPr>
        <w:t xml:space="preserve">Yale University Press.</w:t>
      </w:r>
    </w:p>
    <w:p>
      <w:pPr>
        <w:spacing w:after="40"/>
      </w:pPr>
      <w:r>
        <w:rPr>
          <w:rFonts w:ascii="Calibri" w:cs="Calibri" w:eastAsia="Calibri" w:hAnsi="Calibri"/>
          <w:color w:val="5f5e5a"/>
          <w:sz w:val="18"/>
          <w:szCs w:val="18"/>
        </w:rPr>
        <w:t xml:space="preserve">Connection to the Model of Moral Craftsmanship: </w:t>
      </w:r>
      <w:r>
        <w:rPr>
          <w:rFonts w:ascii="Calibri" w:cs="Calibri" w:eastAsia="Calibri" w:hAnsi="Calibri"/>
          <w:i/>
          <w:iCs/>
          <w:color w:val="5f5e5a"/>
          <w:sz w:val="18"/>
          <w:szCs w:val="18"/>
        </w:rPr>
        <w:t xml:space="preserve">Karssing, E. (2001). Morele competentie in organisaties. </w:t>
      </w:r>
      <w:r>
        <w:rPr>
          <w:rFonts w:ascii="Calibri" w:cs="Calibri" w:eastAsia="Calibri" w:hAnsi="Calibri"/>
          <w:color w:val="5f5e5a"/>
          <w:sz w:val="18"/>
          <w:szCs w:val="18"/>
        </w:rPr>
        <w:t xml:space="preserve">Van Gorcum.  |  Biesta, G. (2015). </w:t>
      </w:r>
      <w:r>
        <w:rPr>
          <w:rFonts w:ascii="Calibri" w:cs="Calibri" w:eastAsia="Calibri" w:hAnsi="Calibri"/>
          <w:i/>
          <w:iCs/>
          <w:color w:val="5f5e5a"/>
          <w:sz w:val="18"/>
          <w:szCs w:val="18"/>
        </w:rPr>
        <w:t xml:space="preserve">Beautiful risk of education. </w:t>
      </w:r>
      <w:r>
        <w:rPr>
          <w:rFonts w:ascii="Calibri" w:cs="Calibri" w:eastAsia="Calibri" w:hAnsi="Calibri"/>
          <w:color w:val="5f5e5a"/>
          <w:sz w:val="18"/>
          <w:szCs w:val="18"/>
        </w:rPr>
        <w:t xml:space="preserve">Routledge.</w:t>
      </w:r>
    </w:p>
    <w:p>
      <w:r>
        <w:rPr>
          <w:rFonts w:ascii="Calibri" w:cs="Calibri" w:eastAsia="Calibri" w:hAnsi="Calibri"/>
          <w:color w:val="B0AEA8"/>
          <w:sz w:val="18"/>
          <w:szCs w:val="18"/>
        </w:rPr>
        <w:t xml:space="preserve">© Research Group Ethical Practice, Fontys University of Applied Sciences — free to use with attribution</w:t>
      </w:r>
    </w:p>
    <w:sectPr>
      <w:headerReference w:type="default" r:id="rId7"/>
      <w:footerReference w:type="default" r:id="rId8"/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2" w:space="4"/>
      </w:pBdr>
      <w:jc w:val="right"/>
    </w:pPr>
    <w:r>
      <w:rPr>
        <w:rFonts w:ascii="Calibri" w:cs="Calibri" w:eastAsia="Calibri" w:hAnsi="Calibri"/>
        <w:color w:val="5f5e5a"/>
        <w:sz w:val="16"/>
        <w:szCs w:val="16"/>
      </w:rPr>
      <w:t xml:space="preserve">Research Group Ethical Practice  |  Fontys University of Applied Sciences  |  lectoraatethischwerken@fontys.nl  |  Lecturer guide — free to use with attribution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38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00"/>
      <w:gridCol w:w="3838"/>
    </w:tblGrid>
    <w:tr>
      <w:tc>
        <w:tcPr>
          <w:tcW w:type="dxa" w:w="10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993556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80" w:before="80"/>
          </w:pPr>
          <w:r>
            <w:rPr>
              <w:rFonts w:ascii="Calibri" w:cs="Calibri" w:eastAsia="Calibri" w:hAnsi="Calibri"/>
              <w:b/>
              <w:bCs/>
              <w:color w:val="FFFFFF"/>
              <w:sz w:val="20"/>
              <w:szCs w:val="20"/>
            </w:rPr>
            <w:t xml:space="preserve">MV_16  |  The Socratic Dialogue</w:t>
          </w:r>
          <w:r>
            <w:rPr>
              <w:rFonts w:ascii="Calibri" w:cs="Calibri" w:eastAsia="Calibri" w:hAnsi="Calibri"/>
              <w:color w:val="F7E8ED"/>
              <w:sz w:val="18"/>
              <w:szCs w:val="18"/>
            </w:rPr>
            <w:t xml:space="preserve">     Steps 1–5 — Full model</w:t>
          </w:r>
        </w:p>
      </w:tc>
      <w:tc>
        <w:tcPr>
          <w:tcW w:type="dxa" w:w="3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744" w:val="clear"/>
          <w:tcMar>
            <w:top w:type="dxa" w:w="0"/>
            <w:left w:type="dxa" w:w="120"/>
            <w:bottom w:type="dxa" w:w="0"/>
            <w:right w:type="dxa" w:w="0"/>
          </w:tcMar>
        </w:tcPr>
        <w:p>
          <w:pPr>
            <w:spacing w:after="80" w:before="80"/>
          </w:pPr>
          <w:r>
            <w:rPr>
              <w:rFonts w:ascii="Calibri" w:cs="Calibri" w:eastAsia="Calibri" w:hAnsi="Calibri"/>
              <w:color w:val="D3D1C7"/>
              <w:sz w:val="16"/>
              <w:szCs w:val="16"/>
            </w:rPr>
            <w:t xml:space="preserve">Model of Moral Craftsmanship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2026-06-15T11:54:17.455Z</dcterms:created>
  <dcterms:modified xsi:type="dcterms:W3CDTF">2026-06-15T11:54:17.455Z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