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rFonts w:ascii="Calibri" w:cs="Calibri" w:eastAsia="Calibri" w:hAnsi="Calibri"/>
          <w:b/>
          <w:bCs/>
          <w:color w:val="5f5e5a"/>
          <w:sz w:val="40"/>
          <w:szCs w:val="40"/>
        </w:rPr>
        <w:t xml:space="preserve">Session Guide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993556"/>
          <w:sz w:val="72"/>
          <w:szCs w:val="72"/>
        </w:rPr>
        <w:t xml:space="preserve">Tech Innovators NV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2744"/>
          <w:sz w:val="32"/>
          <w:szCs w:val="32"/>
        </w:rPr>
        <w:t xml:space="preserve">90-Minute Moral Laboratory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f5e5a"/>
          <w:sz w:val="22"/>
          <w:szCs w:val="22"/>
        </w:rPr>
        <w:t xml:space="preserve">Session design for the Community of Moral Craftsmanship — all five model steps explored through one case study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a84b" w:sz="6"/>
              <w:left w:val="single" w:color="c8a84b" w:sz="6"/>
              <w:bottom w:val="single" w:color="c8a84b" w:sz="6"/>
              <w:right w:val="single" w:color="c8a84b" w:sz="6"/>
            </w:tcBorders>
            <w:shd w:fill="fdf6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2744"/>
                <w:sz w:val="22"/>
                <w:szCs w:val="22"/>
              </w:rPr>
              <w:t xml:space="preserve">This guide leads a group of 8–20 participants through the five steps of the Model of Moral Craftsmanship using the Tech Innovators NV case. Materials needed: case study (MV_16), conversation cards, post-its, markers. Optional: MV_13 (Good Reasons) and MV_15 (Pitfalls) for deeper work in Step 3.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f5e5a"/>
          <w:sz w:val="18"/>
          <w:szCs w:val="18"/>
        </w:rPr>
        <w:t xml:space="preserve">🖼  Firefly image (cover): cinematic portrait, workshop setting with small groups around tables, participants writing on post-its, warm overhead light, honest and engaged expressions, soft bokeh background, photorealistic, no text, no logos</w:t>
      </w:r>
    </w:p>
    <w:p>
      <w:r>
        <w:br w:type="page"/>
      </w:r>
    </w:p>
    <w:p>
      <w:pPr>
        <w:pBdr>
          <w:bottom w:val="single" w:color="993556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993556"/>
          <w:sz w:val="32"/>
          <w:szCs w:val="32"/>
        </w:rPr>
        <w:t xml:space="preserve">Preparation for the Facilitator</w:t>
      </w:r>
    </w:p>
    <w:p>
      <w:pPr>
        <w:spacing w:after="120"/>
      </w:pPr>
      <w:r>
        <w:rPr>
          <w:rFonts w:ascii="Calibri" w:cs="Calibri" w:eastAsia="Calibri" w:hAnsi="Calibri"/>
          <w:color w:val="1a2744"/>
          <w:sz w:val="22"/>
          <w:szCs w:val="22"/>
        </w:rPr>
        <w:t xml:space="preserve">Read the case study (MV_16) in full. Choose three dilemmas that best connect to your group's context — you do not need to cover all of them. Prepare conversation cards as an opener and post-its for the rounds. Keep Biesta's principle in mind: no ready-made answers, only real encounter.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20"/>
                <w:szCs w:val="20"/>
              </w:rPr>
              <w:t xml:space="preserve">Group size</w:t>
            </w:r>
          </w:p>
        </w:tc>
        <w:tc>
          <w:tcPr>
            <w:tcW w:type="dxa" w:w="5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8–20 participants (for larger groups: work in parallel subgroups)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20"/>
                <w:szCs w:val="20"/>
              </w:rPr>
              <w:t xml:space="preserve">Materials needed</w:t>
            </w:r>
          </w:p>
        </w:tc>
        <w:tc>
          <w:tcPr>
            <w:tcW w:type="dxa" w:w="5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Case study MV_16, conversation cards, post-its, markers, flip chart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20"/>
                <w:szCs w:val="20"/>
              </w:rPr>
              <w:t xml:space="preserve">Optional</w:t>
            </w:r>
          </w:p>
        </w:tc>
        <w:tc>
          <w:tcPr>
            <w:tcW w:type="dxa" w:w="5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MV_13 (Good Reasons) and MV_15 (Pitfalls) for deeper work in Step 3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20"/>
                <w:szCs w:val="20"/>
              </w:rPr>
              <w:t xml:space="preserve">Room setup</w:t>
            </w:r>
          </w:p>
        </w:tc>
        <w:tc>
          <w:tcPr>
            <w:tcW w:type="dxa" w:w="5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U-shape or small islands of 4–5 participants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20"/>
                <w:szCs w:val="20"/>
              </w:rPr>
              <w:t xml:space="preserve">Facilitator role</w:t>
            </w:r>
          </w:p>
        </w:tc>
        <w:tc>
          <w:tcPr>
            <w:tcW w:type="dxa" w:w="5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Guardian of process, not content — ask questions, do not give answers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993556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993556"/>
          <w:sz w:val="32"/>
          <w:szCs w:val="32"/>
        </w:rPr>
        <w:t xml:space="preserve">Session Design — 90 Minutes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0–10 min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Opening</w:t>
            </w:r>
          </w:p>
        </w:tc>
        <w:tc>
          <w:tcPr>
            <w:tcW w:type="dxa" w:w="7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2744"/>
                <w:sz w:val="24"/>
                <w:szCs w:val="24"/>
              </w:rPr>
              <w:t xml:space="preserve">Step 1 — Seeing: opening with a conversation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Place a conversation card on the table. Let everyone read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Ask: "What do you see here? What stands out to you that others might not immediately notice?"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No judgements, no answers — only observation.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Close with: "Shortly we will apply this kind of seeing to a real organisation."</w:t>
            </w:r>
          </w:p>
          <w:p>
            <w:pPr>
              <w:spacing w:after="80"/>
            </w:pPr>
            <w:r>
              <w:t xml:space="preserve"/>
            </w:r>
          </w:p>
          <w:p>
            <w:r>
              <w:rPr>
                <w:rFonts w:ascii="Calibri" w:cs="Calibri" w:eastAsia="Calibri" w:hAnsi="Calibri"/>
                <w:i/>
                <w:iCs/>
                <w:color w:val="5f5e5a"/>
                <w:sz w:val="18"/>
                <w:szCs w:val="18"/>
              </w:rPr>
              <w:t xml:space="preserve">🖼  Firefly: cinematic portrait, single conversation card on a wooden table, hands of two people reaching toward it, warm light, close-up, soft bokeh, photorealistic, no text on card, no logos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10–20 min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Seeing</w:t>
            </w:r>
          </w:p>
        </w:tc>
        <w:tc>
          <w:tcPr>
            <w:tcW w:type="dxa" w:w="7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2744"/>
                <w:sz w:val="24"/>
                <w:szCs w:val="24"/>
              </w:rPr>
              <w:t xml:space="preserve">Reading the organisation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Everyone reads the case study (pages 1–2 of MV_16) silently for 7 minutes.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Then: "Write on a post-it what strikes you first — without judgement."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Stick the post-its on a flip chart. Read them aloud without commentary.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Ask: "What are we missing? What do you not see in the text, but do see in your own practice?"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20–35 min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Feeling</w:t>
            </w:r>
          </w:p>
        </w:tc>
        <w:tc>
          <w:tcPr>
            <w:tcW w:type="dxa" w:w="7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2744"/>
                <w:sz w:val="24"/>
                <w:szCs w:val="24"/>
              </w:rPr>
              <w:t xml:space="preserve">Step 2 — Feeling: moral discomfort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Introduce the four characters: Tom, Susan, Fatima, Erik.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Ask participants: "Which character or dilemma gives you a gut feeling of moral discomfort? Not what you think you should feel — what you actually feel."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Everyone writes for 2 minutes, then exchanges in pairs (3 min).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Plenary: "Which feeling was most surprising?"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Facilitator note: acknowledge that all feelings are welcome — including discomfort, frustration or recognition.</w:t>
            </w:r>
          </w:p>
          <w:p>
            <w:pPr>
              <w:spacing w:after="80"/>
            </w:pPr>
            <w:r>
              <w:t xml:space="preserve"/>
            </w:r>
          </w:p>
          <w:p>
            <w:r>
              <w:rPr>
                <w:rFonts w:ascii="Calibri" w:cs="Calibri" w:eastAsia="Calibri" w:hAnsi="Calibri"/>
                <w:i/>
                <w:iCs/>
                <w:color w:val="5f5e5a"/>
                <w:sz w:val="18"/>
                <w:szCs w:val="18"/>
              </w:rPr>
              <w:t xml:space="preserve">🖼  Firefly: cinematic portrait, two colleagues in a quiet corner of an office, leaning in toward each other, one listening carefully, natural window light, soft bokeh, photorealistic, no text, no logos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556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35–60 min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Weighing</w:t>
            </w:r>
          </w:p>
        </w:tc>
        <w:tc>
          <w:tcPr>
            <w:tcW w:type="dxa" w:w="7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2744"/>
                <w:sz w:val="24"/>
                <w:szCs w:val="24"/>
              </w:rPr>
              <w:t xml:space="preserve">Step 3 — Weighing: three dilemmas in depth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Divide the group into three subgroups. Each group receives one dilemma from Step 3 (D5, D6 or D7).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Each group answers: "Which values are in conflict here? What do you lose with each possible choice?"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Optional: use MV_13 (Good Reasons) to structure the argumentation.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Optional: use MV_15 (Pitfalls) as a check — which fallacy are you at risk of using?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After 15 minutes: each group presents the core of their weighing in a maximum of 2 minutes.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Plenary round: "Which value has generated the most resistance? Why?"</w:t>
            </w:r>
          </w:p>
          <w:p>
            <w:pPr>
              <w:spacing w:after="80"/>
            </w:pPr>
            <w:r>
              <w:t xml:space="preserve"/>
            </w:r>
          </w:p>
          <w:p>
            <w:r>
              <w:rPr>
                <w:rFonts w:ascii="Calibri" w:cs="Calibri" w:eastAsia="Calibri" w:hAnsi="Calibri"/>
                <w:i/>
                <w:iCs/>
                <w:color w:val="5f5e5a"/>
                <w:sz w:val="18"/>
                <w:szCs w:val="18"/>
              </w:rPr>
              <w:t xml:space="preserve">🖼  Firefly: cinematic portrait, small group of three professionals huddled around a table with notes and markers, one person pointing at a diagram, engaged discussion, warm overhead light, soft bokeh, photorealistic, no text, no logos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60–75 min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Acting</w:t>
            </w:r>
          </w:p>
        </w:tc>
        <w:tc>
          <w:tcPr>
            <w:tcW w:type="dxa" w:w="7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2744"/>
                <w:sz w:val="24"/>
                <w:szCs w:val="24"/>
              </w:rPr>
              <w:t xml:space="preserve">Step 4 — Acting: what does this ask of me?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Back to the individual. Silent writing exercise (5 min): "What would you do tomorrow if you were in the shoes of Tom, Susan or Fatima?"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No group pressure, no consensus — your own choice.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Exchange in pairs: "What is holding you back?"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Plenary: "Who is willing to share their choice — and the doubt that comes with it?"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75–85 min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Persisting</w:t>
            </w:r>
          </w:p>
        </w:tc>
        <w:tc>
          <w:tcPr>
            <w:tcW w:type="dxa" w:w="7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2744"/>
                <w:sz w:val="24"/>
                <w:szCs w:val="24"/>
              </w:rPr>
              <w:t xml:space="preserve">Step 5 — Persisting: holding your course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Ask: "Suppose you have made that choice. Two months later, the pressure is back. What do you do then?"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Participants write a personal "compass sentence": one sentence describing which value they want to hold — even under pressure.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Whoever wishes to, shares their sentence. No one is obliged.</w:t>
            </w:r>
          </w:p>
          <w:p>
            <w:pPr>
              <w:spacing w:after="80"/>
            </w:pPr>
            <w:r>
              <w:t xml:space="preserve"/>
            </w:r>
          </w:p>
          <w:p>
            <w:r>
              <w:rPr>
                <w:rFonts w:ascii="Calibri" w:cs="Calibri" w:eastAsia="Calibri" w:hAnsi="Calibri"/>
                <w:i/>
                <w:iCs/>
                <w:color w:val="5f5e5a"/>
                <w:sz w:val="18"/>
                <w:szCs w:val="18"/>
              </w:rPr>
              <w:t xml:space="preserve">🖼  Firefly: cinematic portrait, person standing by a window looking out over a city at dusk, calm and determined expression, warm golden light from the side, soft bokeh, photorealistic, no text, no logos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85–90 min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Closing</w:t>
            </w:r>
          </w:p>
        </w:tc>
        <w:tc>
          <w:tcPr>
            <w:tcW w:type="dxa" w:w="7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2744"/>
                <w:sz w:val="24"/>
                <w:szCs w:val="24"/>
              </w:rPr>
              <w:t xml:space="preserve">Open question to take away (Biesta)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The facilitator does not close with a conclusion — but with a question.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Choose one: "What are you taking with you that you did not know before?" / "Which conversation do you now need to have?" / "What was stopping you this morning that you might now see differently?"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No applause, no summary — just silence, and then space to leave.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993556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993556"/>
          <w:sz w:val="32"/>
          <w:szCs w:val="32"/>
        </w:rPr>
        <w:t xml:space="preserve">Tips for the Facilitator</w:t>
      </w:r>
    </w:p>
    <w:p>
      <w:pPr>
        <w:spacing w:after="120"/>
      </w:pPr>
      <w:r>
        <w:rPr>
          <w:rFonts w:ascii="Calibri" w:cs="Calibri" w:eastAsia="Calibri" w:hAnsi="Calibri"/>
          <w:color w:val="1a2744"/>
          <w:sz w:val="22"/>
          <w:szCs w:val="22"/>
        </w:rPr>
        <w:t xml:space="preserve">Biesta's weak pedagogy in practice: you do not have the answer. That is not a shortcoming — it is the design. Your role is to keep the conversation open, not to close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2744"/>
          <w:sz w:val="22"/>
          <w:szCs w:val="22"/>
        </w:rPr>
        <w:t xml:space="preserve">Hold the time, but let the conversation breathe — the best insights often arrive at minute 14 of a 15-minute block.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2744"/>
          <w:sz w:val="22"/>
          <w:szCs w:val="22"/>
        </w:rPr>
        <w:t xml:space="preserve">If someone has a ready-made answer, ask: "What are you losing by choosing that?"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2744"/>
          <w:sz w:val="22"/>
          <w:szCs w:val="22"/>
        </w:rPr>
        <w:t xml:space="preserve">When tension rises: "What does that feeling tell you about what is at stake for you?"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2744"/>
          <w:sz w:val="22"/>
          <w:szCs w:val="22"/>
        </w:rPr>
        <w:t xml:space="preserve">Never: "That's a good point." — it implies other points are not.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2744"/>
          <w:sz w:val="22"/>
          <w:szCs w:val="22"/>
        </w:rPr>
        <w:t xml:space="preserve">Always: the open question at the end. Do not summarise. Do not wrap up. Simply: let it land.</w:t>
      </w:r>
    </w:p>
    <w:p>
      <w:pPr>
        <w:spacing w:after="160"/>
      </w:pPr>
      <w:r>
        <w:t xml:space="preserve"/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f5e5a"/>
          <w:sz w:val="18"/>
          <w:szCs w:val="18"/>
        </w:rPr>
        <w:t xml:space="preserve">🖼  Firefly image (facilitator): cinematic portrait, facilitator standing at the front of a workshop, open body language, hands slightly raised, group of engaged participants visible in soft focus background, natural light, photorealistic, no text, no logos</w:t>
      </w:r>
    </w:p>
    <w:p>
      <w:pPr>
        <w:spacing w:after="120"/>
      </w:pPr>
      <w:r>
        <w:t xml:space="preserve"/>
      </w:r>
    </w:p>
    <w:p>
      <w:pPr>
        <w:spacing w:after="40" w:before="120"/>
        <w:jc w:val="center"/>
      </w:pPr>
      <w:r>
        <w:rPr>
          <w:rFonts w:ascii="Calibri" w:cs="Calibri" w:eastAsia="Calibri" w:hAnsi="Calibri"/>
          <w:i/>
          <w:iCs/>
          <w:color w:val="993556"/>
          <w:sz w:val="22"/>
          <w:szCs w:val="22"/>
        </w:rPr>
        <w:t xml:space="preserve">"Moral craftsmanship means: keep seeing, keep feeling, keep weighing, keep acting, and hold your course — even when something is truly at stake."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f5e5a"/>
          <w:sz w:val="20"/>
          <w:szCs w:val="20"/>
        </w:rPr>
        <w:t xml:space="preserve">— Model of Moral Craftsmanship, Research Group on Ethical Practice, Fontys University of Applied Sciences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2" w:space="4"/>
      </w:pBdr>
      <w:jc w:val="right"/>
    </w:pPr>
    <w:r>
      <w:rPr>
        <w:rFonts w:ascii="Calibri" w:cs="Calibri" w:eastAsia="Calibri" w:hAnsi="Calibri"/>
        <w:color w:val="5f5e5a"/>
        <w:sz w:val="16"/>
        <w:szCs w:val="16"/>
      </w:rPr>
      <w:t xml:space="preserve">Research Group on Ethical Practice  |  Fontys University of Applied Sciences  |  lectoraatethischwerken@fontys.nl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52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993556" w:val="clear"/>
          <w:tcMar>
            <w:top w:type="dxa" w:w="80"/>
            <w:left w:type="dxa" w:w="180"/>
            <w:bottom w:type="dxa" w:w="80"/>
            <w:right w:type="dxa" w:w="0"/>
          </w:tcMar>
        </w:tcPr>
        <w:p>
          <w:pPr>
            <w:spacing w:after="80" w:before="80"/>
          </w:pPr>
          <w:r>
            <w:rPr>
              <w:rFonts w:ascii="Calibri" w:cs="Calibri" w:eastAsia="Calibri" w:hAnsi="Calibri"/>
              <w:b/>
              <w:bCs/>
              <w:color w:val="FFFFFF"/>
              <w:sz w:val="20"/>
              <w:szCs w:val="20"/>
            </w:rPr>
            <w:t xml:space="preserve">MV_16  |  Session Guide: Tech Innovators NV — 90 minutes</w:t>
          </w:r>
          <w:r>
            <w:rPr>
              <w:rFonts w:ascii="Calibri" w:cs="Calibri" w:eastAsia="Calibri" w:hAnsi="Calibri"/>
              <w:color w:val="fdf0f4"/>
              <w:sz w:val="18"/>
              <w:szCs w:val="18"/>
            </w:rPr>
            <w:t xml:space="preserve">     All steps</w:t>
          </w:r>
        </w:p>
      </w:tc>
      <w:tc>
        <w:tcPr>
          <w:tcW w:type="dxa" w:w="25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744" w:val="clear"/>
          <w:tcMar>
            <w:top w:type="dxa" w:w="80"/>
            <w:left w:type="dxa" w:w="120"/>
            <w:bottom w:type="dxa" w:w="80"/>
            <w:right w:type="dxa" w:w="0"/>
          </w:tcMar>
        </w:tcPr>
        <w:p>
          <w:pPr>
            <w:spacing w:after="80" w:before="80"/>
          </w:pPr>
          <w:r>
            <w:rPr>
              <w:rFonts w:ascii="Calibri" w:cs="Calibri" w:eastAsia="Calibri" w:hAnsi="Calibri"/>
              <w:color w:val="d3d1c7"/>
              <w:sz w:val="16"/>
              <w:szCs w:val="16"/>
            </w:rPr>
            <w:t xml:space="preserve">Model of Moral Craftsmanship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2026-06-15T20:35:47.901Z</dcterms:created>
  <dcterms:modified xsi:type="dcterms:W3CDTF">2026-06-15T20:35:47.901Z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