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Calibri" w:cs="Calibri" w:eastAsia="Calibri" w:hAnsi="Calibri"/>
          <w:b/>
          <w:bCs/>
          <w:color w:val="993556"/>
          <w:sz w:val="72"/>
          <w:szCs w:val="72"/>
        </w:rPr>
        <w:t xml:space="preserve">AeroTech Innovations</w:t>
      </w:r>
    </w:p>
    <w:p>
      <w:pPr>
        <w:spacing w:after="80"/>
      </w:pPr>
      <w:r>
        <w:rPr>
          <w:rFonts w:ascii="Calibri" w:cs="Calibri" w:eastAsia="Calibri" w:hAnsi="Calibri"/>
          <w:b/>
          <w:bCs/>
          <w:color w:val="1a2744"/>
          <w:sz w:val="36"/>
          <w:szCs w:val="36"/>
        </w:rPr>
        <w:t xml:space="preserve">Six Cases — and the Moral Undercurrent Beneath Them</w:t>
      </w:r>
    </w:p>
    <w:p>
      <w:pPr>
        <w:spacing w:after="240"/>
      </w:pPr>
      <w:r>
        <w:rPr>
          <w:rFonts w:ascii="Calibri" w:cs="Calibri" w:eastAsia="Calibri" w:hAnsi="Calibri"/>
          <w:i/>
          <w:iCs/>
          <w:color w:val="5f5e5a"/>
          <w:sz w:val="22"/>
          <w:szCs w:val="22"/>
        </w:rPr>
        <w:t xml:space="preserve">A worksheet for students and educators in Applied Psychology and HRM — with a moral layer added to each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a84b" w:sz="6"/>
              <w:left w:val="single" w:color="c8a84b" w:sz="6"/>
              <w:bottom w:val="single" w:color="c8a84b" w:sz="6"/>
              <w:right w:val="single" w:color="c8a84b" w:sz="6"/>
            </w:tcBorders>
            <w:shd w:fill="fdf6e3" w:val="clear"/>
            <w:tcMar>
              <w:top w:type="dxa" w:w="120"/>
              <w:left w:type="dxa" w:w="180"/>
              <w:bottom w:type="dxa" w:w="120"/>
              <w:right w:type="dxa" w:w="180"/>
            </w:tcMar>
          </w:tcPr>
          <w:p>
            <w:r>
              <w:rPr>
                <w:rFonts w:ascii="Calibri" w:cs="Calibri" w:eastAsia="Calibri" w:hAnsi="Calibri"/>
                <w:i/>
                <w:iCs/>
                <w:color w:val="1a2744"/>
                <w:sz w:val="22"/>
                <w:szCs w:val="22"/>
              </w:rPr>
              <w:t xml:space="preserve">This worksheet adds a moral layer to existing professional case studies. The six situations are unchanged — but in each one, the ethical tension that was always there has been made visible. Use the "conversation opener" as a starting point for reflection, not as a question with a correct answer.</w:t>
            </w:r>
          </w:p>
        </w:tc>
      </w:tr>
    </w:tbl>
    <w:p>
      <w:pPr>
        <w:spacing w:after="160"/>
      </w:pPr>
      <w:r>
        <w:t xml:space="preserve"/>
      </w:r>
    </w:p>
    <w:p>
      <w:pPr>
        <w:spacing w:after="40"/>
      </w:pPr>
      <w:r>
        <w:rPr>
          <w:rFonts w:ascii="Calibri" w:cs="Calibri" w:eastAsia="Calibri" w:hAnsi="Calibri"/>
          <w:i/>
          <w:iCs/>
          <w:color w:val="5f5e5a"/>
          <w:sz w:val="18"/>
          <w:szCs w:val="18"/>
        </w:rPr>
        <w:t xml:space="preserve">🖼  Firefly (cover): cinematic portrait, aerial view of a modern industrial campus at dusk, one illuminated window in a large building with a silhouette visible inside, dramatic sky, photorealistic, no text, no logos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
        <w:gridCol w:w="8746"/>
      </w:tblGrid>
      <w:tr>
        <w:tc>
          <w:tcPr>
            <w:tcW w:type="dxa" w:w="280"/>
            <w:tcBorders>
              <w:top w:val="none" w:color="FFFFFF" w:sz="0"/>
              <w:left w:val="none" w:color="FFFFFF" w:sz="0"/>
              <w:bottom w:val="none" w:color="FFFFFF" w:sz="0"/>
              <w:right w:val="none" w:color="FFFFFF" w:sz="0"/>
            </w:tcBorders>
            <w:shd w:fill="185fa5" w:val="clear"/>
            <w:tcMar>
              <w:top w:type="dxa" w:w="60"/>
              <w:left w:type="dxa" w:w="0"/>
              <w:bottom w:type="dxa" w:w="60"/>
              <w:right w:type="dxa" w:w="0"/>
            </w:tcMar>
          </w:tcPr>
          <w:p>
            <w:r>
              <w:t xml:space="preserve"/>
            </w:r>
          </w:p>
        </w:tc>
        <w:tc>
          <w:tcPr>
            <w:tcW w:type="dxa" w:w="8746"/>
            <w:tcBorders>
              <w:top w:val="none" w:color="FFFFFF" w:sz="0"/>
              <w:left w:val="none" w:color="FFFFFF" w:sz="0"/>
              <w:bottom w:val="none" w:color="FFFFFF" w:sz="0"/>
              <w:right w:val="none" w:color="FFFFFF" w:sz="0"/>
            </w:tcBorders>
            <w:shd w:fill="fafaf8" w:val="clear"/>
            <w:tcMar>
              <w:top w:type="dxa" w:w="60"/>
              <w:left w:type="dxa" w:w="160"/>
              <w:bottom w:type="dxa" w:w="60"/>
              <w:right w:type="dxa" w:w="0"/>
            </w:tcMar>
          </w:tcPr>
          <w:p>
            <w:r>
              <w:rPr>
                <w:rFonts w:ascii="Calibri" w:cs="Calibri" w:eastAsia="Calibri" w:hAnsi="Calibri"/>
                <w:color w:val="1a2744"/>
                <w:sz w:val="20"/>
                <w:szCs w:val="20"/>
              </w:rPr>
              <w:t xml:space="preserve">Step 1 — Seeing: What do you actually see when you look closely?</w:t>
            </w:r>
          </w:p>
        </w:tc>
      </w:tr>
      <w:tr>
        <w:tc>
          <w:tcPr>
            <w:tcW w:type="dxa" w:w="280"/>
            <w:tcBorders>
              <w:top w:val="none" w:color="FFFFFF" w:sz="0"/>
              <w:left w:val="none" w:color="FFFFFF" w:sz="0"/>
              <w:bottom w:val="none" w:color="FFFFFF" w:sz="0"/>
              <w:right w:val="none" w:color="FFFFFF" w:sz="0"/>
            </w:tcBorders>
            <w:shd w:fill="854f0b" w:val="clear"/>
            <w:tcMar>
              <w:top w:type="dxa" w:w="60"/>
              <w:left w:type="dxa" w:w="0"/>
              <w:bottom w:type="dxa" w:w="60"/>
              <w:right w:type="dxa" w:w="0"/>
            </w:tcMar>
          </w:tcPr>
          <w:p>
            <w:r>
              <w:t xml:space="preserve"/>
            </w:r>
          </w:p>
        </w:tc>
        <w:tc>
          <w:tcPr>
            <w:tcW w:type="dxa" w:w="8746"/>
            <w:tcBorders>
              <w:top w:val="none" w:color="FFFFFF" w:sz="0"/>
              <w:left w:val="none" w:color="FFFFFF" w:sz="0"/>
              <w:bottom w:val="none" w:color="FFFFFF" w:sz="0"/>
              <w:right w:val="none" w:color="FFFFFF" w:sz="0"/>
            </w:tcBorders>
            <w:shd w:fill="fafaf8" w:val="clear"/>
            <w:tcMar>
              <w:top w:type="dxa" w:w="60"/>
              <w:left w:type="dxa" w:w="160"/>
              <w:bottom w:type="dxa" w:w="60"/>
              <w:right w:type="dxa" w:w="0"/>
            </w:tcMar>
          </w:tcPr>
          <w:p>
            <w:r>
              <w:rPr>
                <w:rFonts w:ascii="Calibri" w:cs="Calibri" w:eastAsia="Calibri" w:hAnsi="Calibri"/>
                <w:color w:val="1a2744"/>
                <w:sz w:val="20"/>
                <w:szCs w:val="20"/>
              </w:rPr>
              <w:t xml:space="preserve">Step 2 — Feeling: Where do you feel moral discomfort?</w:t>
            </w:r>
          </w:p>
        </w:tc>
      </w:tr>
      <w:tr>
        <w:tc>
          <w:tcPr>
            <w:tcW w:type="dxa" w:w="280"/>
            <w:tcBorders>
              <w:top w:val="none" w:color="FFFFFF" w:sz="0"/>
              <w:left w:val="none" w:color="FFFFFF" w:sz="0"/>
              <w:bottom w:val="none" w:color="FFFFFF" w:sz="0"/>
              <w:right w:val="none" w:color="FFFFFF" w:sz="0"/>
            </w:tcBorders>
            <w:shd w:fill="993556" w:val="clear"/>
            <w:tcMar>
              <w:top w:type="dxa" w:w="60"/>
              <w:left w:type="dxa" w:w="0"/>
              <w:bottom w:type="dxa" w:w="60"/>
              <w:right w:type="dxa" w:w="0"/>
            </w:tcMar>
          </w:tcPr>
          <w:p>
            <w:r>
              <w:t xml:space="preserve"/>
            </w:r>
          </w:p>
        </w:tc>
        <w:tc>
          <w:tcPr>
            <w:tcW w:type="dxa" w:w="8746"/>
            <w:tcBorders>
              <w:top w:val="none" w:color="FFFFFF" w:sz="0"/>
              <w:left w:val="none" w:color="FFFFFF" w:sz="0"/>
              <w:bottom w:val="none" w:color="FFFFFF" w:sz="0"/>
              <w:right w:val="none" w:color="FFFFFF" w:sz="0"/>
            </w:tcBorders>
            <w:shd w:fill="fafaf8" w:val="clear"/>
            <w:tcMar>
              <w:top w:type="dxa" w:w="60"/>
              <w:left w:type="dxa" w:w="160"/>
              <w:bottom w:type="dxa" w:w="60"/>
              <w:right w:type="dxa" w:w="0"/>
            </w:tcMar>
          </w:tcPr>
          <w:p>
            <w:r>
              <w:rPr>
                <w:rFonts w:ascii="Calibri" w:cs="Calibri" w:eastAsia="Calibri" w:hAnsi="Calibri"/>
                <w:color w:val="1a2744"/>
                <w:sz w:val="20"/>
                <w:szCs w:val="20"/>
              </w:rPr>
              <w:t xml:space="preserve">Step 3 — Weighing: Which values are in conflict?</w:t>
            </w:r>
          </w:p>
        </w:tc>
      </w:tr>
      <w:tr>
        <w:tc>
          <w:tcPr>
            <w:tcW w:type="dxa" w:w="280"/>
            <w:tcBorders>
              <w:top w:val="none" w:color="FFFFFF" w:sz="0"/>
              <w:left w:val="none" w:color="FFFFFF" w:sz="0"/>
              <w:bottom w:val="none" w:color="FFFFFF" w:sz="0"/>
              <w:right w:val="none" w:color="FFFFFF" w:sz="0"/>
            </w:tcBorders>
            <w:shd w:fill="0f6e56" w:val="clear"/>
            <w:tcMar>
              <w:top w:type="dxa" w:w="60"/>
              <w:left w:type="dxa" w:w="0"/>
              <w:bottom w:type="dxa" w:w="60"/>
              <w:right w:type="dxa" w:w="0"/>
            </w:tcMar>
          </w:tcPr>
          <w:p>
            <w:r>
              <w:t xml:space="preserve"/>
            </w:r>
          </w:p>
        </w:tc>
        <w:tc>
          <w:tcPr>
            <w:tcW w:type="dxa" w:w="8746"/>
            <w:tcBorders>
              <w:top w:val="none" w:color="FFFFFF" w:sz="0"/>
              <w:left w:val="none" w:color="FFFFFF" w:sz="0"/>
              <w:bottom w:val="none" w:color="FFFFFF" w:sz="0"/>
              <w:right w:val="none" w:color="FFFFFF" w:sz="0"/>
            </w:tcBorders>
            <w:shd w:fill="fafaf8" w:val="clear"/>
            <w:tcMar>
              <w:top w:type="dxa" w:w="60"/>
              <w:left w:type="dxa" w:w="160"/>
              <w:bottom w:type="dxa" w:w="60"/>
              <w:right w:type="dxa" w:w="0"/>
            </w:tcMar>
          </w:tcPr>
          <w:p>
            <w:r>
              <w:rPr>
                <w:rFonts w:ascii="Calibri" w:cs="Calibri" w:eastAsia="Calibri" w:hAnsi="Calibri"/>
                <w:color w:val="1a2744"/>
                <w:sz w:val="20"/>
                <w:szCs w:val="20"/>
              </w:rPr>
              <w:t xml:space="preserve">Step 4 — Acting: What does this ask of you?</w:t>
            </w:r>
          </w:p>
        </w:tc>
      </w:tr>
      <w:tr>
        <w:tc>
          <w:tcPr>
            <w:tcW w:type="dxa" w:w="280"/>
            <w:tcBorders>
              <w:top w:val="none" w:color="FFFFFF" w:sz="0"/>
              <w:left w:val="none" w:color="FFFFFF" w:sz="0"/>
              <w:bottom w:val="none" w:color="FFFFFF" w:sz="0"/>
              <w:right w:val="none" w:color="FFFFFF" w:sz="0"/>
            </w:tcBorders>
            <w:shd w:fill="993c1d" w:val="clear"/>
            <w:tcMar>
              <w:top w:type="dxa" w:w="60"/>
              <w:left w:type="dxa" w:w="0"/>
              <w:bottom w:type="dxa" w:w="60"/>
              <w:right w:type="dxa" w:w="0"/>
            </w:tcMar>
          </w:tcPr>
          <w:p>
            <w:r>
              <w:t xml:space="preserve"/>
            </w:r>
          </w:p>
        </w:tc>
        <w:tc>
          <w:tcPr>
            <w:tcW w:type="dxa" w:w="8746"/>
            <w:tcBorders>
              <w:top w:val="none" w:color="FFFFFF" w:sz="0"/>
              <w:left w:val="none" w:color="FFFFFF" w:sz="0"/>
              <w:bottom w:val="none" w:color="FFFFFF" w:sz="0"/>
              <w:right w:val="none" w:color="FFFFFF" w:sz="0"/>
            </w:tcBorders>
            <w:shd w:fill="fafaf8" w:val="clear"/>
            <w:tcMar>
              <w:top w:type="dxa" w:w="60"/>
              <w:left w:type="dxa" w:w="160"/>
              <w:bottom w:type="dxa" w:w="60"/>
              <w:right w:type="dxa" w:w="0"/>
            </w:tcMar>
          </w:tcPr>
          <w:p>
            <w:r>
              <w:rPr>
                <w:rFonts w:ascii="Calibri" w:cs="Calibri" w:eastAsia="Calibri" w:hAnsi="Calibri"/>
                <w:color w:val="1a2744"/>
                <w:sz w:val="20"/>
                <w:szCs w:val="20"/>
              </w:rPr>
              <w:t xml:space="preserve">Step 5 — Persisting: Which course do you hold under pressure?</w:t>
            </w:r>
          </w:p>
        </w:tc>
      </w:tr>
    </w:tbl>
    <w:p>
      <w:pPr>
        <w:spacing w:after="200"/>
      </w:pPr>
      <w:r>
        <w:t xml:space="preserve"/>
      </w:r>
    </w:p>
    <w:p>
      <w:r>
        <w:br w:type="page"/>
      </w:r>
    </w:p>
    <w:p>
      <w:pPr>
        <w:pBdr>
          <w:bottom w:val="single" w:color="993556" w:sz="6" w:space="4"/>
        </w:pBdr>
        <w:spacing w:after="120" w:before="320"/>
      </w:pPr>
      <w:r>
        <w:rPr>
          <w:rFonts w:ascii="Calibri" w:cs="Calibri" w:eastAsia="Calibri" w:hAnsi="Calibri"/>
          <w:b/>
          <w:bCs/>
          <w:color w:val="993556"/>
          <w:sz w:val="32"/>
          <w:szCs w:val="32"/>
        </w:rPr>
        <w:t xml:space="preserve">Six Cases with Moral Undercurrent</w:t>
      </w:r>
    </w:p>
    <w:p>
      <w:pPr>
        <w:spacing w:after="200"/>
      </w:pPr>
      <w:r>
        <w:rPr>
          <w:rFonts w:ascii="Calibri" w:cs="Calibri" w:eastAsia="Calibri" w:hAnsi="Calibri"/>
          <w:color w:val="1a2744"/>
          <w:sz w:val="22"/>
          <w:szCs w:val="22"/>
        </w:rPr>
        <w:t xml:space="preserve">Each case contains: the original professional situation, the moral undercurrent that was invisibly present beneath it, and a conversation opener. The colour indicates the model step at which the moral tension is felt most strongly.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993556" w:val="clear"/>
            <w:tcMar>
              <w:top w:type="dxa" w:w="100"/>
              <w:left w:type="dxa" w:w="140"/>
              <w:bottom w:type="dxa" w:w="100"/>
              <w:right w:type="dxa" w:w="80"/>
            </w:tcMar>
            <w:vAlign w:val="top"/>
          </w:tcPr>
          <w:p>
            <w:pPr>
              <w:spacing w:after="40"/>
              <w:jc w:val="center"/>
            </w:pPr>
            <w:r>
              <w:rPr>
                <w:rFonts w:ascii="Calibri" w:cs="Calibri" w:eastAsia="Calibri" w:hAnsi="Calibri"/>
                <w:b/>
                <w:bCs/>
                <w:color w:val="FFFFFF"/>
                <w:sz w:val="28"/>
                <w:szCs w:val="28"/>
              </w:rPr>
              <w:t xml:space="preserve">C1</w:t>
            </w:r>
          </w:p>
          <w:p>
            <w:pPr>
              <w:jc w:val="center"/>
            </w:pPr>
            <w:r>
              <w:rPr>
                <w:rFonts w:ascii="Calibri" w:cs="Calibri" w:eastAsia="Calibri" w:hAnsi="Calibri"/>
                <w:i/>
                <w:iCs/>
                <w:color w:val="FFFFFF"/>
                <w:sz w:val="16"/>
                <w:szCs w:val="16"/>
              </w:rPr>
              <w:t xml:space="preserve">HR Business Partner</w:t>
            </w:r>
          </w:p>
        </w:tc>
        <w:tc>
          <w:tcPr>
            <w:tcW w:type="dxa" w:w="8426"/>
            <w:tcBorders>
              <w:top w:val="none" w:color="FFFFFF" w:sz="0"/>
              <w:left w:val="none" w:color="FFFFFF" w:sz="0"/>
              <w:bottom w:val="none" w:color="FFFFFF" w:sz="0"/>
              <w:right w:val="none" w:color="FFFFFF" w:sz="0"/>
            </w:tcBorders>
            <w:shd w:fill="f7f7f5" w:val="clear"/>
            <w:tcMar>
              <w:top w:type="dxa" w:w="100"/>
              <w:left w:type="dxa" w:w="180"/>
              <w:bottom w:type="dxa" w:w="100"/>
              <w:right w:type="dxa" w:w="160"/>
            </w:tcMar>
          </w:tcPr>
          <w:p>
            <w:pPr>
              <w:spacing w:after="80"/>
            </w:pPr>
            <w:r>
              <w:rPr>
                <w:rFonts w:ascii="Calibri" w:cs="Calibri" w:eastAsia="Calibri" w:hAnsi="Calibri"/>
                <w:b/>
                <w:bCs/>
                <w:color w:val="1a2744"/>
                <w:sz w:val="26"/>
                <w:szCs w:val="26"/>
              </w:rPr>
              <w:t xml:space="preserve">Strategic recruitment for surveillance drones</w:t>
            </w:r>
          </w:p>
          <w:p>
            <w:r>
              <w:rPr>
                <w:rFonts w:ascii="Calibri" w:cs="Calibri" w:eastAsia="Calibri" w:hAnsi="Calibri"/>
                <w:color w:val="1a2744"/>
                <w:sz w:val="22"/>
                <w:szCs w:val="22"/>
              </w:rPr>
              <w:t xml:space="preserve">AeroTech Innovations has landed a large international order for surveillance drones. The HR Business Partner is tasked with quickly attracting specialised technical staff to meet the production deadline. She launches a targeted recruitment campaign combined with internal training.</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3556" w:sz="8"/>
              <w:left w:val="single" w:color="993556" w:sz="8"/>
              <w:bottom w:val="single" w:color="993556" w:sz="8"/>
              <w:right w:val="single" w:color="993556" w:sz="8"/>
            </w:tcBorders>
            <w:shd w:fill="fdf0f4" w:val="clear"/>
            <w:tcMar>
              <w:top w:type="dxa" w:w="140"/>
              <w:left w:type="dxa" w:w="200"/>
              <w:bottom w:type="dxa" w:w="140"/>
              <w:right w:type="dxa" w:w="200"/>
            </w:tcMar>
          </w:tcPr>
          <w:p>
            <w:pPr>
              <w:spacing w:after="60"/>
            </w:pPr>
            <w:r>
              <w:rPr>
                <w:rFonts w:ascii="Calibri" w:cs="Calibri" w:eastAsia="Calibri" w:hAnsi="Calibri"/>
                <w:b/>
                <w:bCs/>
                <w:color w:val="993556"/>
                <w:sz w:val="20"/>
                <w:szCs w:val="20"/>
              </w:rPr>
              <w:t xml:space="preserve">Moral undercurrent</w:t>
            </w:r>
          </w:p>
          <w:p>
            <w:pPr>
              <w:spacing w:after="120"/>
            </w:pPr>
            <w:r>
              <w:rPr>
                <w:rFonts w:ascii="Calibri" w:cs="Calibri" w:eastAsia="Calibri" w:hAnsi="Calibri"/>
                <w:color w:val="1a2744"/>
                <w:sz w:val="22"/>
                <w:szCs w:val="22"/>
              </w:rPr>
              <w:t xml:space="preserve">The order is for surveillance drones. Who the end client is and how the drones will be deployed remains unspoken. Yet we are recruiting staff for it. Employees being brought in may not know — or may not ask — what their work will ultimately be used for. That silence is not neutrality. It is a choice.</w:t>
            </w:r>
          </w:p>
          <w:p>
            <w:r>
              <w:rPr>
                <w:rFonts w:ascii="Calibri" w:cs="Calibri" w:eastAsia="Calibri" w:hAnsi="Calibri"/>
                <w:b/>
                <w:bCs/>
                <w:color w:val="1a2744"/>
                <w:sz w:val="20"/>
                <w:szCs w:val="20"/>
              </w:rPr>
              <w:t xml:space="preserve">Conversation opener  </w:t>
            </w:r>
            <w:r>
              <w:rPr>
                <w:rFonts w:ascii="Calibri" w:cs="Calibri" w:eastAsia="Calibri" w:hAnsi="Calibri"/>
                <w:i/>
                <w:iCs/>
                <w:color w:val="1a2744"/>
                <w:sz w:val="20"/>
                <w:szCs w:val="20"/>
              </w:rPr>
              <w:t xml:space="preserve">"As an HR professional, do you bear responsibility for the ethical context of the products you recruit for? Or does your responsibility end at filling the vacancy?"</w:t>
            </w:r>
          </w:p>
          <w:p>
            <w:pPr>
              <w:spacing w:before="80"/>
            </w:pPr>
            <w:r>
              <w:rPr>
                <w:rFonts w:ascii="Calibri" w:cs="Calibri" w:eastAsia="Calibri" w:hAnsi="Calibri"/>
                <w:b/>
                <w:bCs/>
                <w:color w:val="993556"/>
                <w:sz w:val="18"/>
                <w:szCs w:val="18"/>
              </w:rPr>
              <w:t xml:space="preserve">Model step: Weighing</w:t>
            </w:r>
          </w:p>
        </w:tc>
      </w:tr>
    </w:tbl>
    <w:p>
      <w:pPr>
        <w:spacing w:after="80"/>
      </w:pPr>
      <w:r>
        <w:t xml:space="preserve"/>
      </w:r>
    </w:p>
    <w:p>
      <w:pPr>
        <w:spacing w:after="40"/>
      </w:pPr>
      <w:r>
        <w:rPr>
          <w:rFonts w:ascii="Calibri" w:cs="Calibri" w:eastAsia="Calibri" w:hAnsi="Calibri"/>
          <w:i/>
          <w:iCs/>
          <w:color w:val="5f5e5a"/>
          <w:sz w:val="18"/>
          <w:szCs w:val="18"/>
        </w:rPr>
        <w:t xml:space="preserve">🖼  Firefly: cinematic portrait, HR professional reviewing resumes at a modern desk, expression of quiet concern, window light from the side, blurred manufacturing floor visible through glass wall in background, soft bokeh, photorealistic, no text, no logos</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854f0b" w:val="clear"/>
            <w:tcMar>
              <w:top w:type="dxa" w:w="100"/>
              <w:left w:type="dxa" w:w="140"/>
              <w:bottom w:type="dxa" w:w="100"/>
              <w:right w:type="dxa" w:w="80"/>
            </w:tcMar>
            <w:vAlign w:val="top"/>
          </w:tcPr>
          <w:p>
            <w:pPr>
              <w:spacing w:after="40"/>
              <w:jc w:val="center"/>
            </w:pPr>
            <w:r>
              <w:rPr>
                <w:rFonts w:ascii="Calibri" w:cs="Calibri" w:eastAsia="Calibri" w:hAnsi="Calibri"/>
                <w:b/>
                <w:bCs/>
                <w:color w:val="FFFFFF"/>
                <w:sz w:val="28"/>
                <w:szCs w:val="28"/>
              </w:rPr>
              <w:t xml:space="preserve">C2</w:t>
            </w:r>
          </w:p>
          <w:p>
            <w:pPr>
              <w:jc w:val="center"/>
            </w:pPr>
            <w:r>
              <w:rPr>
                <w:rFonts w:ascii="Calibri" w:cs="Calibri" w:eastAsia="Calibri" w:hAnsi="Calibri"/>
                <w:i/>
                <w:iCs/>
                <w:color w:val="FFFFFF"/>
                <w:sz w:val="16"/>
                <w:szCs w:val="16"/>
              </w:rPr>
              <w:t xml:space="preserve">Career Coach / Applied Psychologist</w:t>
            </w:r>
          </w:p>
        </w:tc>
        <w:tc>
          <w:tcPr>
            <w:tcW w:type="dxa" w:w="8426"/>
            <w:tcBorders>
              <w:top w:val="none" w:color="FFFFFF" w:sz="0"/>
              <w:left w:val="none" w:color="FFFFFF" w:sz="0"/>
              <w:bottom w:val="none" w:color="FFFFFF" w:sz="0"/>
              <w:right w:val="none" w:color="FFFFFF" w:sz="0"/>
            </w:tcBorders>
            <w:shd w:fill="f7f7f5" w:val="clear"/>
            <w:tcMar>
              <w:top w:type="dxa" w:w="100"/>
              <w:left w:type="dxa" w:w="180"/>
              <w:bottom w:type="dxa" w:w="100"/>
              <w:right w:type="dxa" w:w="160"/>
            </w:tcMar>
          </w:tcPr>
          <w:p>
            <w:pPr>
              <w:spacing w:after="80"/>
            </w:pPr>
            <w:r>
              <w:rPr>
                <w:rFonts w:ascii="Calibri" w:cs="Calibri" w:eastAsia="Calibri" w:hAnsi="Calibri"/>
                <w:b/>
                <w:bCs/>
                <w:color w:val="1a2744"/>
                <w:sz w:val="26"/>
                <w:szCs w:val="26"/>
              </w:rPr>
              <w:t xml:space="preserve">Reintegration after burn-out</w:t>
            </w:r>
          </w:p>
          <w:p>
            <w:r>
              <w:rPr>
                <w:rFonts w:ascii="Calibri" w:cs="Calibri" w:eastAsia="Calibri" w:hAnsi="Calibri"/>
                <w:color w:val="1a2744"/>
                <w:sz w:val="22"/>
                <w:szCs w:val="22"/>
              </w:rPr>
              <w:t xml:space="preserve">An engineer recovering from burn-out wishes to apply at AeroTech Innovations. He is anxious and uncertain about job interviews. A career coach trains him in stress management and presenting his skills effectively, supporting his return to work.</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54f0b" w:sz="8"/>
              <w:left w:val="single" w:color="854f0b" w:sz="8"/>
              <w:bottom w:val="single" w:color="854f0b" w:sz="8"/>
              <w:right w:val="single" w:color="854f0b" w:sz="8"/>
            </w:tcBorders>
            <w:shd w:fill="fdf0f4" w:val="clear"/>
            <w:tcMar>
              <w:top w:type="dxa" w:w="140"/>
              <w:left w:type="dxa" w:w="200"/>
              <w:bottom w:type="dxa" w:w="140"/>
              <w:right w:type="dxa" w:w="200"/>
            </w:tcMar>
          </w:tcPr>
          <w:p>
            <w:pPr>
              <w:spacing w:after="60"/>
            </w:pPr>
            <w:r>
              <w:rPr>
                <w:rFonts w:ascii="Calibri" w:cs="Calibri" w:eastAsia="Calibri" w:hAnsi="Calibri"/>
                <w:b/>
                <w:bCs/>
                <w:color w:val="854f0b"/>
                <w:sz w:val="20"/>
                <w:szCs w:val="20"/>
              </w:rPr>
              <w:t xml:space="preserve">Moral undercurrent</w:t>
            </w:r>
          </w:p>
          <w:p>
            <w:pPr>
              <w:spacing w:after="120"/>
            </w:pPr>
            <w:r>
              <w:rPr>
                <w:rFonts w:ascii="Calibri" w:cs="Calibri" w:eastAsia="Calibri" w:hAnsi="Calibri"/>
                <w:color w:val="1a2744"/>
                <w:sz w:val="22"/>
                <w:szCs w:val="22"/>
              </w:rPr>
              <w:t xml:space="preserve">The coach helps the engineer return to the labour market. But the environment that made him ill — high pressure, irregular shifts, production stress — may be unchanged. Individual coaching solves the personal problem without touching the structural cause. The question is whether helping here also means enabling a return to an unhealthy situation.</w:t>
            </w:r>
          </w:p>
          <w:p>
            <w:r>
              <w:rPr>
                <w:rFonts w:ascii="Calibri" w:cs="Calibri" w:eastAsia="Calibri" w:hAnsi="Calibri"/>
                <w:b/>
                <w:bCs/>
                <w:color w:val="1a2744"/>
                <w:sz w:val="20"/>
                <w:szCs w:val="20"/>
              </w:rPr>
              <w:t xml:space="preserve">Conversation opener  </w:t>
            </w:r>
            <w:r>
              <w:rPr>
                <w:rFonts w:ascii="Calibri" w:cs="Calibri" w:eastAsia="Calibri" w:hAnsi="Calibri"/>
                <w:i/>
                <w:iCs/>
                <w:color w:val="1a2744"/>
                <w:sz w:val="20"/>
                <w:szCs w:val="20"/>
              </w:rPr>
              <w:t xml:space="preserve">"When is coaching a genuine intervention — and when is it a plaster on a system that is fundamentally broken? What is your responsibility when you can see that?"</w:t>
            </w:r>
          </w:p>
          <w:p>
            <w:pPr>
              <w:spacing w:before="80"/>
            </w:pPr>
            <w:r>
              <w:rPr>
                <w:rFonts w:ascii="Calibri" w:cs="Calibri" w:eastAsia="Calibri" w:hAnsi="Calibri"/>
                <w:b/>
                <w:bCs/>
                <w:color w:val="854f0b"/>
                <w:sz w:val="18"/>
                <w:szCs w:val="18"/>
              </w:rPr>
              <w:t xml:space="preserve">Model step: Feeling</w:t>
            </w:r>
          </w:p>
        </w:tc>
      </w:tr>
    </w:tbl>
    <w:p>
      <w:pPr>
        <w:spacing w:after="80"/>
      </w:pPr>
      <w:r>
        <w:t xml:space="preserve"/>
      </w:r>
    </w:p>
    <w:p>
      <w:pPr>
        <w:spacing w:after="40"/>
      </w:pPr>
      <w:r>
        <w:rPr>
          <w:rFonts w:ascii="Calibri" w:cs="Calibri" w:eastAsia="Calibri" w:hAnsi="Calibri"/>
          <w:i/>
          <w:iCs/>
          <w:color w:val="5f5e5a"/>
          <w:sz w:val="18"/>
          <w:szCs w:val="18"/>
        </w:rPr>
        <w:t xml:space="preserve">🖼  Firefly: cinematic portrait, coach and client in a quiet counselling room, client looking down with visible vulnerability, coach leaning forward with open body language, soft natural light, warm tones, photorealistic, no text, no logos</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85fa5" w:val="clear"/>
            <w:tcMar>
              <w:top w:type="dxa" w:w="100"/>
              <w:left w:type="dxa" w:w="140"/>
              <w:bottom w:type="dxa" w:w="100"/>
              <w:right w:type="dxa" w:w="80"/>
            </w:tcMar>
            <w:vAlign w:val="top"/>
          </w:tcPr>
          <w:p>
            <w:pPr>
              <w:spacing w:after="40"/>
              <w:jc w:val="center"/>
            </w:pPr>
            <w:r>
              <w:rPr>
                <w:rFonts w:ascii="Calibri" w:cs="Calibri" w:eastAsia="Calibri" w:hAnsi="Calibri"/>
                <w:b/>
                <w:bCs/>
                <w:color w:val="FFFFFF"/>
                <w:sz w:val="28"/>
                <w:szCs w:val="28"/>
              </w:rPr>
              <w:t xml:space="preserve">C3</w:t>
            </w:r>
          </w:p>
          <w:p>
            <w:pPr>
              <w:jc w:val="center"/>
            </w:pPr>
            <w:r>
              <w:rPr>
                <w:rFonts w:ascii="Calibri" w:cs="Calibri" w:eastAsia="Calibri" w:hAnsi="Calibri"/>
                <w:i/>
                <w:iCs/>
                <w:color w:val="FFFFFF"/>
                <w:sz w:val="16"/>
                <w:szCs w:val="16"/>
              </w:rPr>
              <w:t xml:space="preserve">HR Business Partner</w:t>
            </w:r>
          </w:p>
        </w:tc>
        <w:tc>
          <w:tcPr>
            <w:tcW w:type="dxa" w:w="8426"/>
            <w:tcBorders>
              <w:top w:val="none" w:color="FFFFFF" w:sz="0"/>
              <w:left w:val="none" w:color="FFFFFF" w:sz="0"/>
              <w:bottom w:val="none" w:color="FFFFFF" w:sz="0"/>
              <w:right w:val="none" w:color="FFFFFF" w:sz="0"/>
            </w:tcBorders>
            <w:shd w:fill="f7f7f5" w:val="clear"/>
            <w:tcMar>
              <w:top w:type="dxa" w:w="100"/>
              <w:left w:type="dxa" w:w="180"/>
              <w:bottom w:type="dxa" w:w="100"/>
              <w:right w:type="dxa" w:w="160"/>
            </w:tcMar>
          </w:tcPr>
          <w:p>
            <w:pPr>
              <w:spacing w:after="80"/>
            </w:pPr>
            <w:r>
              <w:rPr>
                <w:rFonts w:ascii="Calibri" w:cs="Calibri" w:eastAsia="Calibri" w:hAnsi="Calibri"/>
                <w:b/>
                <w:bCs/>
                <w:color w:val="1a2744"/>
                <w:sz w:val="26"/>
                <w:szCs w:val="26"/>
              </w:rPr>
              <w:t xml:space="preserve">Analysing leadership style and productivity</w:t>
            </w:r>
          </w:p>
          <w:p>
            <w:r>
              <w:rPr>
                <w:rFonts w:ascii="Calibri" w:cs="Calibri" w:eastAsia="Calibri" w:hAnsi="Calibri"/>
                <w:color w:val="1a2744"/>
                <w:sz w:val="22"/>
                <w:szCs w:val="22"/>
              </w:rPr>
              <w:t xml:space="preserve">One assembly department for "Stealth" models significantly outperforms other teams despite comparable resources. HR investigates the success factors: the leadership style of the manager and the working atmosphere created. The findings will be used to improve overall factory performance.</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85fa5" w:sz="8"/>
              <w:left w:val="single" w:color="185fa5" w:sz="8"/>
              <w:bottom w:val="single" w:color="185fa5" w:sz="8"/>
              <w:right w:val="single" w:color="185fa5" w:sz="8"/>
            </w:tcBorders>
            <w:shd w:fill="fdf0f4" w:val="clear"/>
            <w:tcMar>
              <w:top w:type="dxa" w:w="140"/>
              <w:left w:type="dxa" w:w="200"/>
              <w:bottom w:type="dxa" w:w="140"/>
              <w:right w:type="dxa" w:w="200"/>
            </w:tcMar>
          </w:tcPr>
          <w:p>
            <w:pPr>
              <w:spacing w:after="60"/>
            </w:pPr>
            <w:r>
              <w:rPr>
                <w:rFonts w:ascii="Calibri" w:cs="Calibri" w:eastAsia="Calibri" w:hAnsi="Calibri"/>
                <w:b/>
                <w:bCs/>
                <w:color w:val="185fa5"/>
                <w:sz w:val="20"/>
                <w:szCs w:val="20"/>
              </w:rPr>
              <w:t xml:space="preserve">Moral undercurrent</w:t>
            </w:r>
          </w:p>
          <w:p>
            <w:pPr>
              <w:spacing w:after="120"/>
            </w:pPr>
            <w:r>
              <w:rPr>
                <w:rFonts w:ascii="Calibri" w:cs="Calibri" w:eastAsia="Calibri" w:hAnsi="Calibri"/>
                <w:color w:val="1a2744"/>
                <w:sz w:val="22"/>
                <w:szCs w:val="22"/>
              </w:rPr>
              <w:t xml:space="preserve">HR analyses what "works" — but the benchmark is productivity. What if the successful manager also pushes the team closer to the limits of healthy workload? And who decides what "success" means in a factory that makes surveillance drones? The analysis measures output, not the moral quality of the work culture.</w:t>
            </w:r>
          </w:p>
          <w:p>
            <w:r>
              <w:rPr>
                <w:rFonts w:ascii="Calibri" w:cs="Calibri" w:eastAsia="Calibri" w:hAnsi="Calibri"/>
                <w:b/>
                <w:bCs/>
                <w:color w:val="1a2744"/>
                <w:sz w:val="20"/>
                <w:szCs w:val="20"/>
              </w:rPr>
              <w:t xml:space="preserve">Conversation opener  </w:t>
            </w:r>
            <w:r>
              <w:rPr>
                <w:rFonts w:ascii="Calibri" w:cs="Calibri" w:eastAsia="Calibri" w:hAnsi="Calibri"/>
                <w:i/>
                <w:iCs/>
                <w:color w:val="1a2744"/>
                <w:sz w:val="20"/>
                <w:szCs w:val="20"/>
              </w:rPr>
              <w:t xml:space="preserve">"What are you actually measuring when you study leadership effectiveness? And whose interests define that measure?"</w:t>
            </w:r>
          </w:p>
          <w:p>
            <w:pPr>
              <w:spacing w:before="80"/>
            </w:pPr>
            <w:r>
              <w:rPr>
                <w:rFonts w:ascii="Calibri" w:cs="Calibri" w:eastAsia="Calibri" w:hAnsi="Calibri"/>
                <w:b/>
                <w:bCs/>
                <w:color w:val="185fa5"/>
                <w:sz w:val="18"/>
                <w:szCs w:val="18"/>
              </w:rPr>
              <w:t xml:space="preserve">Model step: Seeing</w:t>
            </w:r>
          </w:p>
        </w:tc>
      </w:tr>
    </w:tbl>
    <w:p>
      <w:pPr>
        <w:spacing w:after="80"/>
      </w:pPr>
      <w:r>
        <w:t xml:space="preserve"/>
      </w:r>
    </w:p>
    <w:p>
      <w:pPr>
        <w:spacing w:after="40"/>
      </w:pPr>
      <w:r>
        <w:rPr>
          <w:rFonts w:ascii="Calibri" w:cs="Calibri" w:eastAsia="Calibri" w:hAnsi="Calibri"/>
          <w:i/>
          <w:iCs/>
          <w:color w:val="5f5e5a"/>
          <w:sz w:val="18"/>
          <w:szCs w:val="18"/>
        </w:rPr>
        <w:t xml:space="preserve">🖼  Firefly: cinematic portrait, manager standing on a factory floor talking to a small team, engaged and respectful body language, industrial background slightly blurred, dramatic overhead lighting, photorealistic, no text, no logos</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993556" w:val="clear"/>
            <w:tcMar>
              <w:top w:type="dxa" w:w="100"/>
              <w:left w:type="dxa" w:w="140"/>
              <w:bottom w:type="dxa" w:w="100"/>
              <w:right w:type="dxa" w:w="80"/>
            </w:tcMar>
            <w:vAlign w:val="top"/>
          </w:tcPr>
          <w:p>
            <w:pPr>
              <w:spacing w:after="40"/>
              <w:jc w:val="center"/>
            </w:pPr>
            <w:r>
              <w:rPr>
                <w:rFonts w:ascii="Calibri" w:cs="Calibri" w:eastAsia="Calibri" w:hAnsi="Calibri"/>
                <w:b/>
                <w:bCs/>
                <w:color w:val="FFFFFF"/>
                <w:sz w:val="28"/>
                <w:szCs w:val="28"/>
              </w:rPr>
              <w:t xml:space="preserve">C4</w:t>
            </w:r>
          </w:p>
          <w:p>
            <w:pPr>
              <w:jc w:val="center"/>
            </w:pPr>
            <w:r>
              <w:rPr>
                <w:rFonts w:ascii="Calibri" w:cs="Calibri" w:eastAsia="Calibri" w:hAnsi="Calibri"/>
                <w:i/>
                <w:iCs/>
                <w:color w:val="FFFFFF"/>
                <w:sz w:val="16"/>
                <w:szCs w:val="16"/>
              </w:rPr>
              <w:t xml:space="preserve">Applied Psychologist</w:t>
            </w:r>
          </w:p>
        </w:tc>
        <w:tc>
          <w:tcPr>
            <w:tcW w:type="dxa" w:w="8426"/>
            <w:tcBorders>
              <w:top w:val="none" w:color="FFFFFF" w:sz="0"/>
              <w:left w:val="none" w:color="FFFFFF" w:sz="0"/>
              <w:bottom w:val="none" w:color="FFFFFF" w:sz="0"/>
              <w:right w:val="none" w:color="FFFFFF" w:sz="0"/>
            </w:tcBorders>
            <w:shd w:fill="f7f7f5" w:val="clear"/>
            <w:tcMar>
              <w:top w:type="dxa" w:w="100"/>
              <w:left w:type="dxa" w:w="180"/>
              <w:bottom w:type="dxa" w:w="100"/>
              <w:right w:type="dxa" w:w="160"/>
            </w:tcMar>
          </w:tcPr>
          <w:p>
            <w:pPr>
              <w:spacing w:after="80"/>
            </w:pPr>
            <w:r>
              <w:rPr>
                <w:rFonts w:ascii="Calibri" w:cs="Calibri" w:eastAsia="Calibri" w:hAnsi="Calibri"/>
                <w:b/>
                <w:bCs/>
                <w:color w:val="1a2744"/>
                <w:sz w:val="26"/>
                <w:szCs w:val="26"/>
              </w:rPr>
              <w:t xml:space="preserve">Developing a uniform leadership training</w:t>
            </w:r>
          </w:p>
          <w:p>
            <w:r>
              <w:rPr>
                <w:rFonts w:ascii="Calibri" w:cs="Calibri" w:eastAsia="Calibri" w:hAnsi="Calibri"/>
                <w:color w:val="1a2744"/>
                <w:sz w:val="22"/>
                <w:szCs w:val="22"/>
              </w:rPr>
              <w:t xml:space="preserve">Based on the analysis in C3, an Applied Psychologist develops a training programme that translates the successful management style into a uniform approach for all leaders at AeroTech Innovations. The training focuses on situational leadership and motivational communication.</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3556" w:sz="8"/>
              <w:left w:val="single" w:color="993556" w:sz="8"/>
              <w:bottom w:val="single" w:color="993556" w:sz="8"/>
              <w:right w:val="single" w:color="993556" w:sz="8"/>
            </w:tcBorders>
            <w:shd w:fill="fdf0f4" w:val="clear"/>
            <w:tcMar>
              <w:top w:type="dxa" w:w="140"/>
              <w:left w:type="dxa" w:w="200"/>
              <w:bottom w:type="dxa" w:w="140"/>
              <w:right w:type="dxa" w:w="200"/>
            </w:tcMar>
          </w:tcPr>
          <w:p>
            <w:pPr>
              <w:spacing w:after="60"/>
            </w:pPr>
            <w:r>
              <w:rPr>
                <w:rFonts w:ascii="Calibri" w:cs="Calibri" w:eastAsia="Calibri" w:hAnsi="Calibri"/>
                <w:b/>
                <w:bCs/>
                <w:color w:val="993556"/>
                <w:sz w:val="20"/>
                <w:szCs w:val="20"/>
              </w:rPr>
              <w:t xml:space="preserve">Moral undercurrent</w:t>
            </w:r>
          </w:p>
          <w:p>
            <w:pPr>
              <w:spacing w:after="120"/>
            </w:pPr>
            <w:r>
              <w:rPr>
                <w:rFonts w:ascii="Calibri" w:cs="Calibri" w:eastAsia="Calibri" w:hAnsi="Calibri"/>
                <w:color w:val="1a2744"/>
                <w:sz w:val="22"/>
                <w:szCs w:val="22"/>
              </w:rPr>
              <w:t xml:space="preserve">Scaling a successful leadership style sounds efficient. But leadership is contextual. What works in one team may clash with the culture or personality of another manager. And: who decides which values are built into the training? Behaviour change is never neutral.</w:t>
            </w:r>
          </w:p>
          <w:p>
            <w:r>
              <w:rPr>
                <w:rFonts w:ascii="Calibri" w:cs="Calibri" w:eastAsia="Calibri" w:hAnsi="Calibri"/>
                <w:b/>
                <w:bCs/>
                <w:color w:val="1a2744"/>
                <w:sz w:val="20"/>
                <w:szCs w:val="20"/>
              </w:rPr>
              <w:t xml:space="preserve">Conversation opener  </w:t>
            </w:r>
            <w:r>
              <w:rPr>
                <w:rFonts w:ascii="Calibri" w:cs="Calibri" w:eastAsia="Calibri" w:hAnsi="Calibri"/>
                <w:i/>
                <w:iCs/>
                <w:color w:val="1a2744"/>
                <w:sz w:val="20"/>
                <w:szCs w:val="20"/>
              </w:rPr>
              <w:t xml:space="preserve">"When you design a training that shapes behaviour, which values are you consciously — and unconsciously — embedding? And may you do that without making it explicit?"</w:t>
            </w:r>
          </w:p>
          <w:p>
            <w:pPr>
              <w:spacing w:before="80"/>
            </w:pPr>
            <w:r>
              <w:rPr>
                <w:rFonts w:ascii="Calibri" w:cs="Calibri" w:eastAsia="Calibri" w:hAnsi="Calibri"/>
                <w:b/>
                <w:bCs/>
                <w:color w:val="993556"/>
                <w:sz w:val="18"/>
                <w:szCs w:val="18"/>
              </w:rPr>
              <w:t xml:space="preserve">Model step: Weighing</w:t>
            </w:r>
          </w:p>
        </w:tc>
      </w:tr>
    </w:tbl>
    <w:p>
      <w:pPr>
        <w:spacing w:after="80"/>
      </w:pPr>
      <w:r>
        <w:t xml:space="preserve"/>
      </w:r>
    </w:p>
    <w:p>
      <w:pPr>
        <w:spacing w:after="40"/>
      </w:pPr>
      <w:r>
        <w:rPr>
          <w:rFonts w:ascii="Calibri" w:cs="Calibri" w:eastAsia="Calibri" w:hAnsi="Calibri"/>
          <w:i/>
          <w:iCs/>
          <w:color w:val="5f5e5a"/>
          <w:sz w:val="18"/>
          <w:szCs w:val="18"/>
        </w:rPr>
        <w:t xml:space="preserve">🖼  Firefly: cinematic portrait, trainer at front of small workshop group, flip chart with diagrams visible, participants with mixed expressions — some engaged, one skeptical, warm professional lighting, soft bokeh, photorealistic, no text, no logos</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993c1d" w:val="clear"/>
            <w:tcMar>
              <w:top w:type="dxa" w:w="100"/>
              <w:left w:type="dxa" w:w="140"/>
              <w:bottom w:type="dxa" w:w="100"/>
              <w:right w:type="dxa" w:w="80"/>
            </w:tcMar>
            <w:vAlign w:val="top"/>
          </w:tcPr>
          <w:p>
            <w:pPr>
              <w:spacing w:after="40"/>
              <w:jc w:val="center"/>
            </w:pPr>
            <w:r>
              <w:rPr>
                <w:rFonts w:ascii="Calibri" w:cs="Calibri" w:eastAsia="Calibri" w:hAnsi="Calibri"/>
                <w:b/>
                <w:bCs/>
                <w:color w:val="FFFFFF"/>
                <w:sz w:val="28"/>
                <w:szCs w:val="28"/>
              </w:rPr>
              <w:t xml:space="preserve">C5</w:t>
            </w:r>
          </w:p>
          <w:p>
            <w:pPr>
              <w:jc w:val="center"/>
            </w:pPr>
            <w:r>
              <w:rPr>
                <w:rFonts w:ascii="Calibri" w:cs="Calibri" w:eastAsia="Calibri" w:hAnsi="Calibri"/>
                <w:i/>
                <w:iCs/>
                <w:color w:val="FFFFFF"/>
                <w:sz w:val="16"/>
                <w:szCs w:val="16"/>
              </w:rPr>
              <w:t xml:space="preserve">Applied Psychologist</w:t>
            </w:r>
          </w:p>
        </w:tc>
        <w:tc>
          <w:tcPr>
            <w:tcW w:type="dxa" w:w="8426"/>
            <w:tcBorders>
              <w:top w:val="none" w:color="FFFFFF" w:sz="0"/>
              <w:left w:val="none" w:color="FFFFFF" w:sz="0"/>
              <w:bottom w:val="none" w:color="FFFFFF" w:sz="0"/>
              <w:right w:val="none" w:color="FFFFFF" w:sz="0"/>
            </w:tcBorders>
            <w:shd w:fill="f7f7f5" w:val="clear"/>
            <w:tcMar>
              <w:top w:type="dxa" w:w="100"/>
              <w:left w:type="dxa" w:w="180"/>
              <w:bottom w:type="dxa" w:w="100"/>
              <w:right w:type="dxa" w:w="160"/>
            </w:tcMar>
          </w:tcPr>
          <w:p>
            <w:pPr>
              <w:spacing w:after="80"/>
            </w:pPr>
            <w:r>
              <w:rPr>
                <w:rFonts w:ascii="Calibri" w:cs="Calibri" w:eastAsia="Calibri" w:hAnsi="Calibri"/>
                <w:b/>
                <w:bCs/>
                <w:color w:val="1a2744"/>
                <w:sz w:val="26"/>
                <w:szCs w:val="26"/>
              </w:rPr>
              <w:t xml:space="preserve">Stress management for drone pilots</w:t>
            </w:r>
          </w:p>
          <w:p>
            <w:r>
              <w:rPr>
                <w:rFonts w:ascii="Calibri" w:cs="Calibri" w:eastAsia="Calibri" w:hAnsi="Calibri"/>
                <w:color w:val="1a2744"/>
                <w:sz w:val="22"/>
                <w:szCs w:val="22"/>
              </w:rPr>
              <w:t xml:space="preserve">Drone pilots suffer from severe stress and sleep disorders due to irregular night shifts. An Applied Psychologist analyses the stress factors and provides pilots with tailored coping strategies to protect their health.</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3c1d" w:sz="8"/>
              <w:left w:val="single" w:color="993c1d" w:sz="8"/>
              <w:bottom w:val="single" w:color="993c1d" w:sz="8"/>
              <w:right w:val="single" w:color="993c1d" w:sz="8"/>
            </w:tcBorders>
            <w:shd w:fill="fdf0f4" w:val="clear"/>
            <w:tcMar>
              <w:top w:type="dxa" w:w="140"/>
              <w:left w:type="dxa" w:w="200"/>
              <w:bottom w:type="dxa" w:w="140"/>
              <w:right w:type="dxa" w:w="200"/>
            </w:tcMar>
          </w:tcPr>
          <w:p>
            <w:pPr>
              <w:spacing w:after="60"/>
            </w:pPr>
            <w:r>
              <w:rPr>
                <w:rFonts w:ascii="Calibri" w:cs="Calibri" w:eastAsia="Calibri" w:hAnsi="Calibri"/>
                <w:b/>
                <w:bCs/>
                <w:color w:val="993c1d"/>
                <w:sz w:val="20"/>
                <w:szCs w:val="20"/>
              </w:rPr>
              <w:t xml:space="preserve">Moral undercurrent</w:t>
            </w:r>
          </w:p>
          <w:p>
            <w:pPr>
              <w:spacing w:after="120"/>
            </w:pPr>
            <w:r>
              <w:rPr>
                <w:rFonts w:ascii="Calibri" w:cs="Calibri" w:eastAsia="Calibri" w:hAnsi="Calibri"/>
                <w:color w:val="1a2744"/>
                <w:sz w:val="22"/>
                <w:szCs w:val="22"/>
              </w:rPr>
              <w:t xml:space="preserve">Coping strategies help individuals deal with a difficult situation. But the night shifts remain. The psychologist resolves the symptom, not the cause. Moreover: the pilots operate surveillance drones. It is plausible that moral tension about what they do — who they monitor, on whose orders — contributes to their stress. That conversation is not being had here.</w:t>
            </w:r>
          </w:p>
          <w:p>
            <w:r>
              <w:rPr>
                <w:rFonts w:ascii="Calibri" w:cs="Calibri" w:eastAsia="Calibri" w:hAnsi="Calibri"/>
                <w:b/>
                <w:bCs/>
                <w:color w:val="1a2744"/>
                <w:sz w:val="20"/>
                <w:szCs w:val="20"/>
              </w:rPr>
              <w:t xml:space="preserve">Conversation opener  </w:t>
            </w:r>
            <w:r>
              <w:rPr>
                <w:rFonts w:ascii="Calibri" w:cs="Calibri" w:eastAsia="Calibri" w:hAnsi="Calibri"/>
                <w:i/>
                <w:iCs/>
                <w:color w:val="1a2744"/>
                <w:sz w:val="20"/>
                <w:szCs w:val="20"/>
              </w:rPr>
              <w:t xml:space="preserve">"If you know the stressor is structural, and possibly morally loaded — how far does your professional responsibility extend as an Applied Psychologist?"</w:t>
            </w:r>
          </w:p>
          <w:p>
            <w:pPr>
              <w:spacing w:before="80"/>
            </w:pPr>
            <w:r>
              <w:rPr>
                <w:rFonts w:ascii="Calibri" w:cs="Calibri" w:eastAsia="Calibri" w:hAnsi="Calibri"/>
                <w:b/>
                <w:bCs/>
                <w:color w:val="993c1d"/>
                <w:sz w:val="18"/>
                <w:szCs w:val="18"/>
              </w:rPr>
              <w:t xml:space="preserve">Model step: Persisting</w:t>
            </w:r>
          </w:p>
        </w:tc>
      </w:tr>
    </w:tbl>
    <w:p>
      <w:pPr>
        <w:spacing w:after="80"/>
      </w:pPr>
      <w:r>
        <w:t xml:space="preserve"/>
      </w:r>
    </w:p>
    <w:p>
      <w:pPr>
        <w:spacing w:after="40"/>
      </w:pPr>
      <w:r>
        <w:rPr>
          <w:rFonts w:ascii="Calibri" w:cs="Calibri" w:eastAsia="Calibri" w:hAnsi="Calibri"/>
          <w:i/>
          <w:iCs/>
          <w:color w:val="5f5e5a"/>
          <w:sz w:val="18"/>
          <w:szCs w:val="18"/>
        </w:rPr>
        <w:t xml:space="preserve">🖼  Firefly: cinematic portrait, drone pilot at a control station, face lit by screens in a dark room, exhausted but focused expression, quiet tension visible, dramatic low-key lighting, photorealistic, no text, no logos</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0f6e56" w:val="clear"/>
            <w:tcMar>
              <w:top w:type="dxa" w:w="100"/>
              <w:left w:type="dxa" w:w="140"/>
              <w:bottom w:type="dxa" w:w="100"/>
              <w:right w:type="dxa" w:w="80"/>
            </w:tcMar>
            <w:vAlign w:val="top"/>
          </w:tcPr>
          <w:p>
            <w:pPr>
              <w:spacing w:after="40"/>
              <w:jc w:val="center"/>
            </w:pPr>
            <w:r>
              <w:rPr>
                <w:rFonts w:ascii="Calibri" w:cs="Calibri" w:eastAsia="Calibri" w:hAnsi="Calibri"/>
                <w:b/>
                <w:bCs/>
                <w:color w:val="FFFFFF"/>
                <w:sz w:val="28"/>
                <w:szCs w:val="28"/>
              </w:rPr>
              <w:t xml:space="preserve">C6</w:t>
            </w:r>
          </w:p>
          <w:p>
            <w:pPr>
              <w:jc w:val="center"/>
            </w:pPr>
            <w:r>
              <w:rPr>
                <w:rFonts w:ascii="Calibri" w:cs="Calibri" w:eastAsia="Calibri" w:hAnsi="Calibri"/>
                <w:i/>
                <w:iCs/>
                <w:color w:val="FFFFFF"/>
                <w:sz w:val="16"/>
                <w:szCs w:val="16"/>
              </w:rPr>
              <w:t xml:space="preserve">HR Business Partner</w:t>
            </w:r>
          </w:p>
        </w:tc>
        <w:tc>
          <w:tcPr>
            <w:tcW w:type="dxa" w:w="8426"/>
            <w:tcBorders>
              <w:top w:val="none" w:color="FFFFFF" w:sz="0"/>
              <w:left w:val="none" w:color="FFFFFF" w:sz="0"/>
              <w:bottom w:val="none" w:color="FFFFFF" w:sz="0"/>
              <w:right w:val="none" w:color="FFFFFF" w:sz="0"/>
            </w:tcBorders>
            <w:shd w:fill="f7f7f5" w:val="clear"/>
            <w:tcMar>
              <w:top w:type="dxa" w:w="100"/>
              <w:left w:type="dxa" w:w="180"/>
              <w:bottom w:type="dxa" w:w="100"/>
              <w:right w:type="dxa" w:w="160"/>
            </w:tcMar>
          </w:tcPr>
          <w:p>
            <w:pPr>
              <w:spacing w:after="80"/>
            </w:pPr>
            <w:r>
              <w:rPr>
                <w:rFonts w:ascii="Calibri" w:cs="Calibri" w:eastAsia="Calibri" w:hAnsi="Calibri"/>
                <w:b/>
                <w:bCs/>
                <w:color w:val="1a2744"/>
                <w:sz w:val="26"/>
                <w:szCs w:val="26"/>
              </w:rPr>
              <w:t xml:space="preserve">Optimising the shift roster</w:t>
            </w:r>
          </w:p>
          <w:p>
            <w:r>
              <w:rPr>
                <w:rFonts w:ascii="Calibri" w:cs="Calibri" w:eastAsia="Calibri" w:hAnsi="Calibri"/>
                <w:color w:val="1a2744"/>
                <w:sz w:val="22"/>
                <w:szCs w:val="22"/>
              </w:rPr>
              <w:t xml:space="preserve">HR is tasked with designing a more sustainable shift roster to minimise health complaints from night work. HR analyses labour law requirements and operational needs, aiming for a schedule that safeguards business continuity while supporting pilot wellbeing.</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6e56" w:sz="8"/>
              <w:left w:val="single" w:color="0f6e56" w:sz="8"/>
              <w:bottom w:val="single" w:color="0f6e56" w:sz="8"/>
              <w:right w:val="single" w:color="0f6e56" w:sz="8"/>
            </w:tcBorders>
            <w:shd w:fill="fdf0f4" w:val="clear"/>
            <w:tcMar>
              <w:top w:type="dxa" w:w="140"/>
              <w:left w:type="dxa" w:w="200"/>
              <w:bottom w:type="dxa" w:w="140"/>
              <w:right w:type="dxa" w:w="200"/>
            </w:tcMar>
          </w:tcPr>
          <w:p>
            <w:pPr>
              <w:spacing w:after="60"/>
            </w:pPr>
            <w:r>
              <w:rPr>
                <w:rFonts w:ascii="Calibri" w:cs="Calibri" w:eastAsia="Calibri" w:hAnsi="Calibri"/>
                <w:b/>
                <w:bCs/>
                <w:color w:val="0f6e56"/>
                <w:sz w:val="20"/>
                <w:szCs w:val="20"/>
              </w:rPr>
              <w:t xml:space="preserve">Moral undercurrent</w:t>
            </w:r>
          </w:p>
          <w:p>
            <w:pPr>
              <w:spacing w:after="120"/>
            </w:pPr>
            <w:r>
              <w:rPr>
                <w:rFonts w:ascii="Calibri" w:cs="Calibri" w:eastAsia="Calibri" w:hAnsi="Calibri"/>
                <w:color w:val="1a2744"/>
                <w:sz w:val="22"/>
                <w:szCs w:val="22"/>
              </w:rPr>
              <w:t xml:space="preserve">A better roster is an improvement. But the framing is: how do we schedule people so they remain available as long as possible? Wellbeing as an instrument of continuity. That is different from wellbeing as a goal in itself. The question that goes unasked: should the operational need itself perhaps be fundamentally different?</w:t>
            </w:r>
          </w:p>
          <w:p>
            <w:r>
              <w:rPr>
                <w:rFonts w:ascii="Calibri" w:cs="Calibri" w:eastAsia="Calibri" w:hAnsi="Calibri"/>
                <w:b/>
                <w:bCs/>
                <w:color w:val="1a2744"/>
                <w:sz w:val="20"/>
                <w:szCs w:val="20"/>
              </w:rPr>
              <w:t xml:space="preserve">Conversation opener  </w:t>
            </w:r>
            <w:r>
              <w:rPr>
                <w:rFonts w:ascii="Calibri" w:cs="Calibri" w:eastAsia="Calibri" w:hAnsi="Calibri"/>
                <w:i/>
                <w:iCs/>
                <w:color w:val="1a2744"/>
                <w:sz w:val="20"/>
                <w:szCs w:val="20"/>
              </w:rPr>
              <w:t xml:space="preserve">"When is improving employee wellbeing a genuine goal — and when is it a means to protect production? Does that difference change how you approach it?"</w:t>
            </w:r>
          </w:p>
          <w:p>
            <w:pPr>
              <w:spacing w:before="80"/>
            </w:pPr>
            <w:r>
              <w:rPr>
                <w:rFonts w:ascii="Calibri" w:cs="Calibri" w:eastAsia="Calibri" w:hAnsi="Calibri"/>
                <w:b/>
                <w:bCs/>
                <w:color w:val="0f6e56"/>
                <w:sz w:val="18"/>
                <w:szCs w:val="18"/>
              </w:rPr>
              <w:t xml:space="preserve">Model step: Acting</w:t>
            </w:r>
          </w:p>
        </w:tc>
      </w:tr>
    </w:tbl>
    <w:p>
      <w:pPr>
        <w:spacing w:after="80"/>
      </w:pPr>
      <w:r>
        <w:t xml:space="preserve"/>
      </w:r>
    </w:p>
    <w:p>
      <w:pPr>
        <w:spacing w:after="40"/>
      </w:pPr>
      <w:r>
        <w:rPr>
          <w:rFonts w:ascii="Calibri" w:cs="Calibri" w:eastAsia="Calibri" w:hAnsi="Calibri"/>
          <w:i/>
          <w:iCs/>
          <w:color w:val="5f5e5a"/>
          <w:sz w:val="18"/>
          <w:szCs w:val="18"/>
        </w:rPr>
        <w:t xml:space="preserve">🖼  Firefly: cinematic portrait, HR professional at a desk with a large scheduling spreadsheet on screen, thoughtful expression, modern office environment, soft overhead light, photorealistic, no text, no logos</w:t>
      </w:r>
    </w:p>
    <w:p>
      <w:pPr>
        <w:spacing w:after="160"/>
      </w:pPr>
      <w:r>
        <w:t xml:space="preserve"/>
      </w:r>
    </w:p>
    <w:p>
      <w:r>
        <w:br w:type="page"/>
      </w:r>
    </w:p>
    <w:p>
      <w:pPr>
        <w:pBdr>
          <w:bottom w:val="single" w:color="993556" w:sz="6" w:space="4"/>
        </w:pBdr>
        <w:spacing w:after="120" w:before="320"/>
      </w:pPr>
      <w:r>
        <w:rPr>
          <w:rFonts w:ascii="Calibri" w:cs="Calibri" w:eastAsia="Calibri" w:hAnsi="Calibri"/>
          <w:b/>
          <w:bCs/>
          <w:color w:val="993556"/>
          <w:sz w:val="32"/>
          <w:szCs w:val="32"/>
        </w:rPr>
        <w:t xml:space="preserve">Deepening Reflection — for the Group</w:t>
      </w:r>
    </w:p>
    <w:p>
      <w:pPr>
        <w:spacing w:after="160"/>
      </w:pPr>
      <w:r>
        <w:rPr>
          <w:rFonts w:ascii="Calibri" w:cs="Calibri" w:eastAsia="Calibri" w:hAnsi="Calibri"/>
          <w:color w:val="1a2744"/>
          <w:sz w:val="22"/>
          <w:szCs w:val="22"/>
        </w:rPr>
        <w:t xml:space="preserve">Use these questions after working through two or more cases. They connect the individual professional role to the wider picture.</w:t>
      </w:r>
    </w:p>
    <w:p>
      <w:pPr>
        <w:pStyle w:val="ListParagraph"/>
        <w:numPr>
          <w:ilvl w:val="0"/>
          <w:numId w:val="2"/>
        </w:numPr>
        <w:spacing w:after="100"/>
      </w:pPr>
      <w:r>
        <w:rPr>
          <w:rFonts w:ascii="Calibri" w:cs="Calibri" w:eastAsia="Calibri" w:hAnsi="Calibri"/>
          <w:color w:val="1a2744"/>
          <w:sz w:val="22"/>
          <w:szCs w:val="22"/>
        </w:rPr>
        <w:t xml:space="preserve">In which case does the organisation itself play a moral role — not just the individual?</w:t>
      </w:r>
    </w:p>
    <w:p>
      <w:pPr>
        <w:pStyle w:val="ListParagraph"/>
        <w:numPr>
          <w:ilvl w:val="0"/>
          <w:numId w:val="2"/>
        </w:numPr>
        <w:spacing w:after="100"/>
      </w:pPr>
      <w:r>
        <w:rPr>
          <w:rFonts w:ascii="Calibri" w:cs="Calibri" w:eastAsia="Calibri" w:hAnsi="Calibri"/>
          <w:color w:val="1a2744"/>
          <w:sz w:val="22"/>
          <w:szCs w:val="22"/>
        </w:rPr>
        <w:t xml:space="preserve">When does "acting professionally" become a way of avoiding difficult questions?</w:t>
      </w:r>
    </w:p>
    <w:p>
      <w:pPr>
        <w:pStyle w:val="ListParagraph"/>
        <w:numPr>
          <w:ilvl w:val="0"/>
          <w:numId w:val="2"/>
        </w:numPr>
        <w:spacing w:after="100"/>
      </w:pPr>
      <w:r>
        <w:rPr>
          <w:rFonts w:ascii="Calibri" w:cs="Calibri" w:eastAsia="Calibri" w:hAnsi="Calibri"/>
          <w:color w:val="1a2744"/>
          <w:sz w:val="22"/>
          <w:szCs w:val="22"/>
        </w:rPr>
        <w:t xml:space="preserve">What do the six cases have in common — and what does that say about AeroTech as an organisation?</w:t>
      </w:r>
    </w:p>
    <w:p>
      <w:pPr>
        <w:pStyle w:val="ListParagraph"/>
        <w:numPr>
          <w:ilvl w:val="0"/>
          <w:numId w:val="2"/>
        </w:numPr>
        <w:spacing w:after="100"/>
      </w:pPr>
      <w:r>
        <w:rPr>
          <w:rFonts w:ascii="Calibri" w:cs="Calibri" w:eastAsia="Calibri" w:hAnsi="Calibri"/>
          <w:color w:val="1a2744"/>
          <w:sz w:val="22"/>
          <w:szCs w:val="22"/>
        </w:rPr>
        <w:t xml:space="preserve">Which case would you personally find hardest to be in? Why that one?</w:t>
      </w:r>
    </w:p>
    <w:p>
      <w:pPr>
        <w:pStyle w:val="ListParagraph"/>
        <w:numPr>
          <w:ilvl w:val="0"/>
          <w:numId w:val="2"/>
        </w:numPr>
        <w:spacing w:after="100"/>
      </w:pPr>
      <w:r>
        <w:rPr>
          <w:rFonts w:ascii="Calibri" w:cs="Calibri" w:eastAsia="Calibri" w:hAnsi="Calibri"/>
          <w:color w:val="1a2744"/>
          <w:sz w:val="22"/>
          <w:szCs w:val="22"/>
        </w:rPr>
        <w:t xml:space="preserve">Is there a case where you think: this is where I should have said no? What would have held you back?</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3d1c7" w:sz="1"/>
              <w:left w:val="single" w:color="d3d1c7" w:sz="1"/>
              <w:bottom w:val="single" w:color="d3d1c7" w:sz="1"/>
              <w:right w:val="single" w:color="d3d1c7" w:sz="1"/>
            </w:tcBorders>
            <w:shd w:fill="fafaf8" w:val="clear"/>
            <w:tcMar>
              <w:top w:type="dxa" w:w="100"/>
              <w:left w:type="dxa" w:w="160"/>
              <w:bottom w:type="dxa" w:w="100"/>
              <w:right w:type="dxa" w:w="160"/>
            </w:tcMar>
          </w:tcPr>
          <w:p>
            <w:pPr>
              <w:spacing w:after="600"/>
            </w:pPr>
            <w:r>
              <w:rPr>
                <w:rFonts w:ascii="Calibri" w:cs="Calibri" w:eastAsia="Calibri" w:hAnsi="Calibri"/>
                <w:i/>
                <w:iCs/>
                <w:color w:val="5f5e5a"/>
                <w:sz w:val="20"/>
                <w:szCs w:val="20"/>
              </w:rPr>
              <w:t xml:space="preserve">My notes on the group questions...</w:t>
            </w:r>
          </w:p>
        </w:tc>
      </w:tr>
    </w:tbl>
    <w:p>
      <w:pPr>
        <w:spacing w:after="200"/>
      </w:pPr>
      <w:r>
        <w:t xml:space="preserve"/>
      </w:r>
    </w:p>
    <w:p>
      <w:pPr>
        <w:spacing w:after="40"/>
      </w:pPr>
      <w:r>
        <w:rPr>
          <w:rFonts w:ascii="Calibri" w:cs="Calibri" w:eastAsia="Calibri" w:hAnsi="Calibri"/>
          <w:i/>
          <w:iCs/>
          <w:color w:val="5f5e5a"/>
          <w:sz w:val="18"/>
          <w:szCs w:val="18"/>
        </w:rPr>
        <w:t xml:space="preserve">🖼  Firefly (reflection): cinematic portrait, diverse group of students in a circle, one person speaking with hands open, others listening attentively, university interior, natural light through large windows, photorealistic, no text, no logos</w:t>
      </w:r>
    </w:p>
    <w:p>
      <w:pPr>
        <w:spacing w:after="120"/>
      </w:pPr>
      <w:r>
        <w:t xml:space="preserve"/>
      </w:r>
    </w:p>
    <w:p>
      <w:pPr>
        <w:pBdr>
          <w:bottom w:val="single" w:color="993556" w:sz="6" w:space="4"/>
        </w:pBdr>
        <w:spacing w:after="120" w:before="320"/>
      </w:pPr>
      <w:r>
        <w:rPr>
          <w:rFonts w:ascii="Calibri" w:cs="Calibri" w:eastAsia="Calibri" w:hAnsi="Calibri"/>
          <w:b/>
          <w:bCs/>
          <w:color w:val="993556"/>
          <w:sz w:val="32"/>
          <w:szCs w:val="32"/>
        </w:rPr>
        <w:t xml:space="preserve">Connecting to the Model of Moral Craftsmanship</w:t>
      </w:r>
    </w:p>
    <w:p>
      <w:pPr>
        <w:spacing w:after="120"/>
      </w:pPr>
      <w:r>
        <w:rPr>
          <w:rFonts w:ascii="Calibri" w:cs="Calibri" w:eastAsia="Calibri" w:hAnsi="Calibri"/>
          <w:color w:val="1a2744"/>
          <w:sz w:val="22"/>
          <w:szCs w:val="22"/>
        </w:rPr>
        <w:t xml:space="preserve">The moral undercurrent in each of these cases is not something added from outside — it was always already there. The model helps you see it, feel it, weigh it, act on it, and hold your course.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226"/>
      </w:tblGrid>
      <w:tr>
        <w:tc>
          <w:tcPr>
            <w:tcW w:type="dxa" w:w="1800"/>
            <w:tcBorders>
              <w:top w:val="single" w:color="d3d1c7" w:sz="1"/>
              <w:left w:val="single" w:color="d3d1c7" w:sz="1"/>
              <w:bottom w:val="single" w:color="d3d1c7" w:sz="1"/>
              <w:right w:val="single" w:color="d3d1c7" w:sz="1"/>
            </w:tcBorders>
            <w:shd w:fill="1a2744" w:val="clear"/>
            <w:tcMar>
              <w:top w:type="dxa" w:w="80"/>
              <w:left w:type="dxa" w:w="120"/>
              <w:bottom w:type="dxa" w:w="80"/>
              <w:right w:type="dxa" w:w="120"/>
            </w:tcMar>
          </w:tcPr>
          <w:p>
            <w:r>
              <w:rPr>
                <w:rFonts w:ascii="Calibri" w:cs="Calibri" w:eastAsia="Calibri" w:hAnsi="Calibri"/>
                <w:b/>
                <w:bCs/>
                <w:color w:val="FFFFFF"/>
                <w:sz w:val="20"/>
                <w:szCs w:val="20"/>
              </w:rPr>
              <w:t xml:space="preserve">Step</w:t>
            </w:r>
          </w:p>
        </w:tc>
        <w:tc>
          <w:tcPr>
            <w:tcW w:type="dxa" w:w="2000"/>
            <w:tcBorders>
              <w:top w:val="single" w:color="d3d1c7" w:sz="1"/>
              <w:left w:val="single" w:color="d3d1c7" w:sz="1"/>
              <w:bottom w:val="single" w:color="d3d1c7" w:sz="1"/>
              <w:right w:val="single" w:color="d3d1c7" w:sz="1"/>
            </w:tcBorders>
            <w:shd w:fill="1a2744" w:val="clear"/>
            <w:tcMar>
              <w:top w:type="dxa" w:w="80"/>
              <w:left w:type="dxa" w:w="120"/>
              <w:bottom w:type="dxa" w:w="80"/>
              <w:right w:type="dxa" w:w="120"/>
            </w:tcMar>
          </w:tcPr>
          <w:p>
            <w:r>
              <w:rPr>
                <w:rFonts w:ascii="Calibri" w:cs="Calibri" w:eastAsia="Calibri" w:hAnsi="Calibri"/>
                <w:b/>
                <w:bCs/>
                <w:color w:val="FFFFFF"/>
                <w:sz w:val="20"/>
                <w:szCs w:val="20"/>
              </w:rPr>
              <w:t xml:space="preserve">Case</w:t>
            </w:r>
          </w:p>
        </w:tc>
        <w:tc>
          <w:tcPr>
            <w:tcW w:type="dxa" w:w="5226"/>
            <w:tcBorders>
              <w:top w:val="single" w:color="d3d1c7" w:sz="1"/>
              <w:left w:val="single" w:color="d3d1c7" w:sz="1"/>
              <w:bottom w:val="single" w:color="d3d1c7" w:sz="1"/>
              <w:right w:val="single" w:color="d3d1c7" w:sz="1"/>
            </w:tcBorders>
            <w:shd w:fill="1a2744" w:val="clear"/>
            <w:tcMar>
              <w:top w:type="dxa" w:w="80"/>
              <w:left w:type="dxa" w:w="120"/>
              <w:bottom w:type="dxa" w:w="80"/>
              <w:right w:type="dxa" w:w="120"/>
            </w:tcMar>
          </w:tcPr>
          <w:p>
            <w:r>
              <w:rPr>
                <w:rFonts w:ascii="Calibri" w:cs="Calibri" w:eastAsia="Calibri" w:hAnsi="Calibri"/>
                <w:b/>
                <w:bCs/>
                <w:color w:val="FFFFFF"/>
                <w:sz w:val="20"/>
                <w:szCs w:val="20"/>
              </w:rPr>
              <w:t xml:space="preserve">Core question</w:t>
            </w:r>
          </w:p>
        </w:tc>
      </w:tr>
      <w:tr>
        <w:tc>
          <w:tcPr>
            <w:tcW w:type="dxa" w:w="1800"/>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tcPr>
          <w:p>
            <w:r>
              <w:rPr>
                <w:rFonts w:ascii="Calibri" w:cs="Calibri" w:eastAsia="Calibri" w:hAnsi="Calibri"/>
                <w:b/>
                <w:bCs/>
                <w:color w:val="FFFFFF"/>
                <w:sz w:val="20"/>
                <w:szCs w:val="20"/>
              </w:rPr>
              <w:t xml:space="preserve">Seeing</w:t>
            </w:r>
          </w:p>
        </w:tc>
        <w:tc>
          <w:tcPr>
            <w:tcW w:type="dxa" w:w="2000"/>
            <w:tcBorders>
              <w:top w:val="single" w:color="d3d1c7" w:sz="1"/>
              <w:left w:val="single" w:color="d3d1c7" w:sz="1"/>
              <w:bottom w:val="single" w:color="d3d1c7" w:sz="1"/>
              <w:right w:val="single" w:color="d3d1c7" w:sz="1"/>
            </w:tcBorders>
            <w:shd w:fill="fafaf8" w:val="clear"/>
            <w:tcMar>
              <w:top w:type="dxa" w:w="80"/>
              <w:left w:type="dxa" w:w="120"/>
              <w:bottom w:type="dxa" w:w="80"/>
              <w:right w:type="dxa" w:w="120"/>
            </w:tcMar>
          </w:tcPr>
          <w:p>
            <w:r>
              <w:rPr>
                <w:rFonts w:ascii="Calibri" w:cs="Calibri" w:eastAsia="Calibri" w:hAnsi="Calibri"/>
                <w:b/>
                <w:bCs/>
                <w:color w:val="1a2744"/>
                <w:sz w:val="20"/>
                <w:szCs w:val="20"/>
              </w:rPr>
              <w:t xml:space="preserve">C3</w:t>
            </w:r>
          </w:p>
        </w:tc>
        <w:tc>
          <w:tcPr>
            <w:tcW w:type="dxa" w:w="5226"/>
            <w:tcBorders>
              <w:top w:val="single" w:color="d3d1c7" w:sz="1"/>
              <w:left w:val="single" w:color="d3d1c7" w:sz="1"/>
              <w:bottom w:val="single" w:color="d3d1c7" w:sz="1"/>
              <w:right w:val="single" w:color="d3d1c7" w:sz="1"/>
            </w:tcBorders>
            <w:shd w:fill="fafaf8" w:val="clear"/>
            <w:tcMar>
              <w:top w:type="dxa" w:w="80"/>
              <w:left w:type="dxa" w:w="120"/>
              <w:bottom w:type="dxa" w:w="80"/>
              <w:right w:type="dxa" w:w="120"/>
            </w:tcMar>
          </w:tcPr>
          <w:p>
            <w:r>
              <w:rPr>
                <w:rFonts w:ascii="Calibri" w:cs="Calibri" w:eastAsia="Calibri" w:hAnsi="Calibri"/>
                <w:color w:val="1a2744"/>
                <w:sz w:val="20"/>
                <w:szCs w:val="20"/>
              </w:rPr>
              <w:t xml:space="preserve">What do you really see when you look at leadership?</w:t>
            </w:r>
          </w:p>
        </w:tc>
      </w:tr>
      <w:tr>
        <w:tc>
          <w:tcPr>
            <w:tcW w:type="dxa" w:w="1800"/>
            <w:tcBorders>
              <w:top w:val="single" w:color="d3d1c7" w:sz="1"/>
              <w:left w:val="single" w:color="d3d1c7" w:sz="1"/>
              <w:bottom w:val="single" w:color="d3d1c7" w:sz="1"/>
              <w:right w:val="single" w:color="d3d1c7" w:sz="1"/>
            </w:tcBorders>
            <w:shd w:fill="854f0b" w:val="clear"/>
            <w:tcMar>
              <w:top w:type="dxa" w:w="80"/>
              <w:left w:type="dxa" w:w="120"/>
              <w:bottom w:type="dxa" w:w="80"/>
              <w:right w:type="dxa" w:w="120"/>
            </w:tcMar>
          </w:tcPr>
          <w:p>
            <w:r>
              <w:rPr>
                <w:rFonts w:ascii="Calibri" w:cs="Calibri" w:eastAsia="Calibri" w:hAnsi="Calibri"/>
                <w:b/>
                <w:bCs/>
                <w:color w:val="FFFFFF"/>
                <w:sz w:val="20"/>
                <w:szCs w:val="20"/>
              </w:rPr>
              <w:t xml:space="preserve">Feeling</w:t>
            </w:r>
          </w:p>
        </w:tc>
        <w:tc>
          <w:tcPr>
            <w:tcW w:type="dxa" w:w="2000"/>
            <w:tcBorders>
              <w:top w:val="single" w:color="d3d1c7" w:sz="1"/>
              <w:left w:val="single" w:color="d3d1c7" w:sz="1"/>
              <w:bottom w:val="single" w:color="d3d1c7" w:sz="1"/>
              <w:right w:val="single" w:color="d3d1c7" w:sz="1"/>
            </w:tcBorders>
            <w:shd w:fill="fafaf8" w:val="clear"/>
            <w:tcMar>
              <w:top w:type="dxa" w:w="80"/>
              <w:left w:type="dxa" w:w="120"/>
              <w:bottom w:type="dxa" w:w="80"/>
              <w:right w:type="dxa" w:w="120"/>
            </w:tcMar>
          </w:tcPr>
          <w:p>
            <w:r>
              <w:rPr>
                <w:rFonts w:ascii="Calibri" w:cs="Calibri" w:eastAsia="Calibri" w:hAnsi="Calibri"/>
                <w:b/>
                <w:bCs/>
                <w:color w:val="1a2744"/>
                <w:sz w:val="20"/>
                <w:szCs w:val="20"/>
              </w:rPr>
              <w:t xml:space="preserve">C2</w:t>
            </w:r>
          </w:p>
        </w:tc>
        <w:tc>
          <w:tcPr>
            <w:tcW w:type="dxa" w:w="5226"/>
            <w:tcBorders>
              <w:top w:val="single" w:color="d3d1c7" w:sz="1"/>
              <w:left w:val="single" w:color="d3d1c7" w:sz="1"/>
              <w:bottom w:val="single" w:color="d3d1c7" w:sz="1"/>
              <w:right w:val="single" w:color="d3d1c7" w:sz="1"/>
            </w:tcBorders>
            <w:shd w:fill="fafaf8" w:val="clear"/>
            <w:tcMar>
              <w:top w:type="dxa" w:w="80"/>
              <w:left w:type="dxa" w:w="120"/>
              <w:bottom w:type="dxa" w:w="80"/>
              <w:right w:type="dxa" w:w="120"/>
            </w:tcMar>
          </w:tcPr>
          <w:p>
            <w:r>
              <w:rPr>
                <w:rFonts w:ascii="Calibri" w:cs="Calibri" w:eastAsia="Calibri" w:hAnsi="Calibri"/>
                <w:color w:val="1a2744"/>
                <w:sz w:val="20"/>
                <w:szCs w:val="20"/>
              </w:rPr>
              <w:t xml:space="preserve">What do you feel when you help someone return to what made them ill?</w:t>
            </w:r>
          </w:p>
        </w:tc>
      </w:tr>
      <w:tr>
        <w:tc>
          <w:tcPr>
            <w:tcW w:type="dxa" w:w="1800"/>
            <w:tcBorders>
              <w:top w:val="single" w:color="d3d1c7" w:sz="1"/>
              <w:left w:val="single" w:color="d3d1c7" w:sz="1"/>
              <w:bottom w:val="single" w:color="d3d1c7" w:sz="1"/>
              <w:right w:val="single" w:color="d3d1c7" w:sz="1"/>
            </w:tcBorders>
            <w:shd w:fill="993556" w:val="clear"/>
            <w:tcMar>
              <w:top w:type="dxa" w:w="80"/>
              <w:left w:type="dxa" w:w="120"/>
              <w:bottom w:type="dxa" w:w="80"/>
              <w:right w:type="dxa" w:w="120"/>
            </w:tcMar>
          </w:tcPr>
          <w:p>
            <w:r>
              <w:rPr>
                <w:rFonts w:ascii="Calibri" w:cs="Calibri" w:eastAsia="Calibri" w:hAnsi="Calibri"/>
                <w:b/>
                <w:bCs/>
                <w:color w:val="FFFFFF"/>
                <w:sz w:val="20"/>
                <w:szCs w:val="20"/>
              </w:rPr>
              <w:t xml:space="preserve">Weighing</w:t>
            </w:r>
          </w:p>
        </w:tc>
        <w:tc>
          <w:tcPr>
            <w:tcW w:type="dxa" w:w="2000"/>
            <w:tcBorders>
              <w:top w:val="single" w:color="d3d1c7" w:sz="1"/>
              <w:left w:val="single" w:color="d3d1c7" w:sz="1"/>
              <w:bottom w:val="single" w:color="d3d1c7" w:sz="1"/>
              <w:right w:val="single" w:color="d3d1c7" w:sz="1"/>
            </w:tcBorders>
            <w:shd w:fill="fafaf8" w:val="clear"/>
            <w:tcMar>
              <w:top w:type="dxa" w:w="80"/>
              <w:left w:type="dxa" w:w="120"/>
              <w:bottom w:type="dxa" w:w="80"/>
              <w:right w:type="dxa" w:w="120"/>
            </w:tcMar>
          </w:tcPr>
          <w:p>
            <w:r>
              <w:rPr>
                <w:rFonts w:ascii="Calibri" w:cs="Calibri" w:eastAsia="Calibri" w:hAnsi="Calibri"/>
                <w:b/>
                <w:bCs/>
                <w:color w:val="1a2744"/>
                <w:sz w:val="20"/>
                <w:szCs w:val="20"/>
              </w:rPr>
              <w:t xml:space="preserve">C1 &amp; C4</w:t>
            </w:r>
          </w:p>
        </w:tc>
        <w:tc>
          <w:tcPr>
            <w:tcW w:type="dxa" w:w="5226"/>
            <w:tcBorders>
              <w:top w:val="single" w:color="d3d1c7" w:sz="1"/>
              <w:left w:val="single" w:color="d3d1c7" w:sz="1"/>
              <w:bottom w:val="single" w:color="d3d1c7" w:sz="1"/>
              <w:right w:val="single" w:color="d3d1c7" w:sz="1"/>
            </w:tcBorders>
            <w:shd w:fill="fafaf8" w:val="clear"/>
            <w:tcMar>
              <w:top w:type="dxa" w:w="80"/>
              <w:left w:type="dxa" w:w="120"/>
              <w:bottom w:type="dxa" w:w="80"/>
              <w:right w:type="dxa" w:w="120"/>
            </w:tcMar>
          </w:tcPr>
          <w:p>
            <w:r>
              <w:rPr>
                <w:rFonts w:ascii="Calibri" w:cs="Calibri" w:eastAsia="Calibri" w:hAnsi="Calibri"/>
                <w:color w:val="1a2744"/>
                <w:sz w:val="20"/>
                <w:szCs w:val="20"/>
              </w:rPr>
              <w:t xml:space="preserve">What are you complicit in — and is that a choice?</w:t>
            </w:r>
          </w:p>
        </w:tc>
      </w:tr>
      <w:tr>
        <w:tc>
          <w:tcPr>
            <w:tcW w:type="dxa" w:w="18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Calibri" w:cs="Calibri" w:eastAsia="Calibri" w:hAnsi="Calibri"/>
                <w:b/>
                <w:bCs/>
                <w:color w:val="FFFFFF"/>
                <w:sz w:val="20"/>
                <w:szCs w:val="20"/>
              </w:rPr>
              <w:t xml:space="preserve">Acting</w:t>
            </w:r>
          </w:p>
        </w:tc>
        <w:tc>
          <w:tcPr>
            <w:tcW w:type="dxa" w:w="2000"/>
            <w:tcBorders>
              <w:top w:val="single" w:color="d3d1c7" w:sz="1"/>
              <w:left w:val="single" w:color="d3d1c7" w:sz="1"/>
              <w:bottom w:val="single" w:color="d3d1c7" w:sz="1"/>
              <w:right w:val="single" w:color="d3d1c7" w:sz="1"/>
            </w:tcBorders>
            <w:shd w:fill="fafaf8" w:val="clear"/>
            <w:tcMar>
              <w:top w:type="dxa" w:w="80"/>
              <w:left w:type="dxa" w:w="120"/>
              <w:bottom w:type="dxa" w:w="80"/>
              <w:right w:type="dxa" w:w="120"/>
            </w:tcMar>
          </w:tcPr>
          <w:p>
            <w:r>
              <w:rPr>
                <w:rFonts w:ascii="Calibri" w:cs="Calibri" w:eastAsia="Calibri" w:hAnsi="Calibri"/>
                <w:b/>
                <w:bCs/>
                <w:color w:val="1a2744"/>
                <w:sz w:val="20"/>
                <w:szCs w:val="20"/>
              </w:rPr>
              <w:t xml:space="preserve">C6</w:t>
            </w:r>
          </w:p>
        </w:tc>
        <w:tc>
          <w:tcPr>
            <w:tcW w:type="dxa" w:w="5226"/>
            <w:tcBorders>
              <w:top w:val="single" w:color="d3d1c7" w:sz="1"/>
              <w:left w:val="single" w:color="d3d1c7" w:sz="1"/>
              <w:bottom w:val="single" w:color="d3d1c7" w:sz="1"/>
              <w:right w:val="single" w:color="d3d1c7" w:sz="1"/>
            </w:tcBorders>
            <w:shd w:fill="fafaf8" w:val="clear"/>
            <w:tcMar>
              <w:top w:type="dxa" w:w="80"/>
              <w:left w:type="dxa" w:w="120"/>
              <w:bottom w:type="dxa" w:w="80"/>
              <w:right w:type="dxa" w:w="120"/>
            </w:tcMar>
          </w:tcPr>
          <w:p>
            <w:r>
              <w:rPr>
                <w:rFonts w:ascii="Calibri" w:cs="Calibri" w:eastAsia="Calibri" w:hAnsi="Calibri"/>
                <w:color w:val="1a2744"/>
                <w:sz w:val="20"/>
                <w:szCs w:val="20"/>
              </w:rPr>
              <w:t xml:space="preserve">Is this wellbeing or is it workforce management?</w:t>
            </w:r>
          </w:p>
        </w:tc>
      </w:tr>
      <w:tr>
        <w:tc>
          <w:tcPr>
            <w:tcW w:type="dxa" w:w="1800"/>
            <w:tcBorders>
              <w:top w:val="single" w:color="d3d1c7" w:sz="1"/>
              <w:left w:val="single" w:color="d3d1c7" w:sz="1"/>
              <w:bottom w:val="single" w:color="d3d1c7" w:sz="1"/>
              <w:right w:val="single" w:color="d3d1c7" w:sz="1"/>
            </w:tcBorders>
            <w:shd w:fill="993c1d" w:val="clear"/>
            <w:tcMar>
              <w:top w:type="dxa" w:w="80"/>
              <w:left w:type="dxa" w:w="120"/>
              <w:bottom w:type="dxa" w:w="80"/>
              <w:right w:type="dxa" w:w="120"/>
            </w:tcMar>
          </w:tcPr>
          <w:p>
            <w:r>
              <w:rPr>
                <w:rFonts w:ascii="Calibri" w:cs="Calibri" w:eastAsia="Calibri" w:hAnsi="Calibri"/>
                <w:b/>
                <w:bCs/>
                <w:color w:val="FFFFFF"/>
                <w:sz w:val="20"/>
                <w:szCs w:val="20"/>
              </w:rPr>
              <w:t xml:space="preserve">Persisting</w:t>
            </w:r>
          </w:p>
        </w:tc>
        <w:tc>
          <w:tcPr>
            <w:tcW w:type="dxa" w:w="2000"/>
            <w:tcBorders>
              <w:top w:val="single" w:color="d3d1c7" w:sz="1"/>
              <w:left w:val="single" w:color="d3d1c7" w:sz="1"/>
              <w:bottom w:val="single" w:color="d3d1c7" w:sz="1"/>
              <w:right w:val="single" w:color="d3d1c7" w:sz="1"/>
            </w:tcBorders>
            <w:shd w:fill="fafaf8" w:val="clear"/>
            <w:tcMar>
              <w:top w:type="dxa" w:w="80"/>
              <w:left w:type="dxa" w:w="120"/>
              <w:bottom w:type="dxa" w:w="80"/>
              <w:right w:type="dxa" w:w="120"/>
            </w:tcMar>
          </w:tcPr>
          <w:p>
            <w:r>
              <w:rPr>
                <w:rFonts w:ascii="Calibri" w:cs="Calibri" w:eastAsia="Calibri" w:hAnsi="Calibri"/>
                <w:b/>
                <w:bCs/>
                <w:color w:val="1a2744"/>
                <w:sz w:val="20"/>
                <w:szCs w:val="20"/>
              </w:rPr>
              <w:t xml:space="preserve">C5</w:t>
            </w:r>
          </w:p>
        </w:tc>
        <w:tc>
          <w:tcPr>
            <w:tcW w:type="dxa" w:w="5226"/>
            <w:tcBorders>
              <w:top w:val="single" w:color="d3d1c7" w:sz="1"/>
              <w:left w:val="single" w:color="d3d1c7" w:sz="1"/>
              <w:bottom w:val="single" w:color="d3d1c7" w:sz="1"/>
              <w:right w:val="single" w:color="d3d1c7" w:sz="1"/>
            </w:tcBorders>
            <w:shd w:fill="fafaf8" w:val="clear"/>
            <w:tcMar>
              <w:top w:type="dxa" w:w="80"/>
              <w:left w:type="dxa" w:w="120"/>
              <w:bottom w:type="dxa" w:w="80"/>
              <w:right w:type="dxa" w:w="120"/>
            </w:tcMar>
          </w:tcPr>
          <w:p>
            <w:r>
              <w:rPr>
                <w:rFonts w:ascii="Calibri" w:cs="Calibri" w:eastAsia="Calibri" w:hAnsi="Calibri"/>
                <w:color w:val="1a2744"/>
                <w:sz w:val="20"/>
                <w:szCs w:val="20"/>
              </w:rPr>
              <w:t xml:space="preserve">What do you do when the stressor is structural and morally loaded?</w:t>
            </w:r>
          </w:p>
        </w:tc>
      </w:tr>
    </w:tbl>
    <w:p>
      <w:pPr>
        <w:spacing w:after="200"/>
      </w:pPr>
      <w:r>
        <w:t xml:space="preserve"/>
      </w:r>
    </w:p>
    <w:p>
      <w:pPr>
        <w:spacing w:after="40" w:before="120"/>
        <w:jc w:val="center"/>
      </w:pPr>
      <w:r>
        <w:rPr>
          <w:rFonts w:ascii="Calibri" w:cs="Calibri" w:eastAsia="Calibri" w:hAnsi="Calibri"/>
          <w:i/>
          <w:iCs/>
          <w:color w:val="993556"/>
          <w:sz w:val="22"/>
          <w:szCs w:val="22"/>
        </w:rPr>
        <w:t xml:space="preserve">"Moral craftsmanship means: keep seeing, keep feeling, keep weighing, keep acting, and hold your course — even when something is truly at stake."</w:t>
      </w:r>
    </w:p>
    <w:p>
      <w:pPr>
        <w:jc w:val="center"/>
      </w:pPr>
      <w:r>
        <w:rPr>
          <w:rFonts w:ascii="Calibri" w:cs="Calibri" w:eastAsia="Calibri" w:hAnsi="Calibri"/>
          <w:i/>
          <w:iCs/>
          <w:color w:val="5f5e5a"/>
          <w:sz w:val="20"/>
          <w:szCs w:val="20"/>
        </w:rPr>
        <w:t xml:space="preserve">— Model of Moral Craftsmanship, Research Group on Ethical Practice, Fontys University of Applied Sciences</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2" w:space="4"/>
      </w:pBdr>
      <w:jc w:val="right"/>
    </w:pPr>
    <w:r>
      <w:rPr>
        <w:rFonts w:ascii="Calibri" w:cs="Calibri" w:eastAsia="Calibri" w:hAnsi="Calibri"/>
        <w:color w:val="5f5e5a"/>
        <w:sz w:val="16"/>
        <w:szCs w:val="16"/>
      </w:rPr>
      <w:t xml:space="preserve">Research Group on Ethical Practice  |  Fontys University of Applied Sciences  |  lectoraatethischwerken@fontys.nl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200"/>
      <w:gridCol w:w="2520"/>
    </w:tblGrid>
    <w:tr>
      <w:tc>
        <w:tcPr>
          <w:tcW w:type="dxa" w:w="7200"/>
          <w:tcBorders>
            <w:top w:val="none" w:color="FFFFFF" w:sz="0"/>
            <w:left w:val="none" w:color="FFFFFF" w:sz="0"/>
            <w:bottom w:val="none" w:color="FFFFFF" w:sz="0"/>
            <w:right w:val="none" w:color="FFFFFF" w:sz="0"/>
          </w:tcBorders>
          <w:shd w:fill="993556" w:val="clear"/>
          <w:tcMar>
            <w:top w:type="dxa" w:w="80"/>
            <w:left w:type="dxa" w:w="180"/>
            <w:bottom w:type="dxa" w:w="80"/>
            <w:right w:type="dxa" w:w="0"/>
          </w:tcMar>
        </w:tcPr>
        <w:p>
          <w:pPr>
            <w:spacing w:after="80" w:before="80"/>
          </w:pPr>
          <w:r>
            <w:rPr>
              <w:rFonts w:ascii="Calibri" w:cs="Calibri" w:eastAsia="Calibri" w:hAnsi="Calibri"/>
              <w:b/>
              <w:bCs/>
              <w:color w:val="FFFFFF"/>
              <w:sz w:val="20"/>
              <w:szCs w:val="20"/>
            </w:rPr>
            <w:t xml:space="preserve">MV_17  |  AeroTech Innovations — Moral Undercurrent</w:t>
          </w:r>
          <w:r>
            <w:rPr>
              <w:rFonts w:ascii="Calibri" w:cs="Calibri" w:eastAsia="Calibri" w:hAnsi="Calibri"/>
              <w:color w:val="fdf0f4"/>
              <w:sz w:val="18"/>
              <w:szCs w:val="18"/>
            </w:rPr>
            <w:t xml:space="preserve">     Applied Psychology &amp; HRM</w:t>
          </w:r>
        </w:p>
      </w:tc>
      <w:tc>
        <w:tcPr>
          <w:tcW w:type="dxa" w:w="2520"/>
          <w:tcBorders>
            <w:top w:val="none" w:color="FFFFFF" w:sz="0"/>
            <w:left w:val="none" w:color="FFFFFF" w:sz="0"/>
            <w:bottom w:val="none" w:color="FFFFFF" w:sz="0"/>
            <w:right w:val="none" w:color="FFFFFF" w:sz="0"/>
          </w:tcBorders>
          <w:shd w:fill="1a2744" w:val="clear"/>
          <w:tcMar>
            <w:top w:type="dxa" w:w="80"/>
            <w:left w:type="dxa" w:w="120"/>
            <w:bottom w:type="dxa" w:w="80"/>
            <w:right w:type="dxa" w:w="0"/>
          </w:tcMar>
        </w:tcPr>
        <w:p>
          <w:pPr>
            <w:spacing w:after="80" w:before="80"/>
          </w:pPr>
          <w:r>
            <w:rPr>
              <w:rFonts w:ascii="Calibri" w:cs="Calibri" w:eastAsia="Calibri" w:hAnsi="Calibri"/>
              <w:color w:val="d3d1c7"/>
              <w:sz w:val="16"/>
              <w:szCs w:val="16"/>
            </w:rPr>
            <w:t xml:space="preserve">Model of Moral Craftsmanship</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2026-06-15T20:50:33.606Z</dcterms:created>
  <dcterms:modified xsi:type="dcterms:W3CDTF">2026-06-15T20:50:33.606Z</dcterms:modified>
</cp:coreProperties>
</file>

<file path=docProps/custom.xml><?xml version="1.0" encoding="utf-8"?>
<Properties xmlns="http://schemas.openxmlformats.org/officeDocument/2006/custom-properties" xmlns:vt="http://schemas.openxmlformats.org/officeDocument/2006/docPropsVTypes"/>
</file>