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SOCIAL MEDIA</w:t>
      </w:r>
    </w:p>
    <w:p>
      <w:r>
        <w:rPr>
          <w:b/>
          <w:color w:val="993556"/>
        </w:rPr>
        <w:t>★☆☆ Micro — direct, personal choice</w:t>
      </w:r>
    </w:p>
    <w:p>
      <w:r>
        <w:rPr>
          <w:b/>
          <w:sz w:val="32"/>
        </w:rPr>
        <w:t>The photo going around</w:t>
      </w:r>
    </w:p>
    <w:p>
      <w:pPr>
        <w:spacing w:after="240"/>
      </w:pPr>
      <w:r>
        <w:t>In the friends' group chat a photo suddenly appears: a girl from school, clearly unaware she was being photographed, in a compromising situation at a party. Kevin, who shared it, writes: "Don't forward this, it stays between us." Within a minute Sami, who also saw the photo, has already taken three screenshots. He doesn't know the girl personally, but sees how quickly this kind of thing normally spreads in the group. If he forwards it secretly, he becomes part of the problem. If he confronts Kevin, he risks the atmosphere in the group he has belonged to for years. If he reports it to school, everyone will soon know it was him. What does Sami do?</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