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SUSTAINABILITY</w:t>
      </w:r>
    </w:p>
    <w:p>
      <w:r>
        <w:rPr>
          <w:b/>
          <w:color w:val="993556"/>
        </w:rPr>
        <w:t>★★★ Macro — systemic dilemma</w:t>
      </w:r>
    </w:p>
    <w:p>
      <w:r>
        <w:rPr>
          <w:b/>
          <w:sz w:val="32"/>
        </w:rPr>
        <w:t>The well-paid side job</w:t>
      </w:r>
    </w:p>
    <w:p>
      <w:pPr>
        <w:spacing w:after="240"/>
      </w:pPr>
      <w:r>
        <w:t>Mila receives a message: a fashion brand she once applied to offers her a part-time job at twice what she earns at the supermarket. From a documentary she watched last year she knows this brand has clothes made in factories with poor working conditions and a huge environmental impact. Her student debt is rising and her parents can't help. Friends say: "Everyone buys there anyway — what difference does your job make?" The contract is ready to sign; the start date is in two weeks. Mila scrolls through her documentary notes again, then to her bank account. Does she take the job, or keep looking for something that better matches what she values?</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