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DUURZAAMHEID</w:t>
      </w:r>
    </w:p>
    <w:p>
      <w:r>
        <w:rPr>
          <w:b/>
          <w:color w:val="993556"/>
        </w:rPr>
        <w:t>★★★ Macro — systemisch dilemma</w:t>
      </w:r>
    </w:p>
    <w:p>
      <w:r>
        <w:rPr>
          <w:b/>
          <w:sz w:val="32"/>
        </w:rPr>
        <w:t>De goedkope trui</w:t>
      </w:r>
    </w:p>
    <w:p>
      <w:pPr>
        <w:spacing w:after="240"/>
      </w:pPr>
      <w:r>
        <w:t>In de winkel hangt een trui voor zes euro, in de uitverkoop nog goedkoper. Emma weet, na een schoolproject over de kledingindustrie, dat kleding in deze prijsklasse vaak wordt gemaakt in fabrieken waar ook kinderen werken — ze heeft de cijfers zelf opgezocht voor haar werkstuk. Haar eigen budget is krap; ze spaart voor een schoolreis en elke euro telt. De trui in haar handen is precies wat ze zocht, in de juiste maat en kleur, nergens anders voor deze prijs te vinden. Het kassapersoneel wacht, de rij achter haar wordt langer. Ze denkt aan het werkstuk dat ze zelf schreef en aan de schoolreis waarvoor ze spaart. Legt Emma de trui terug, of rekent ze hem toch af?</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