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F5E5A"/>
          <w:sz w:val="20"/>
        </w:rPr>
        <w:t>DAILY LIFE</w:t>
      </w:r>
    </w:p>
    <w:p>
      <w:r>
        <w:rPr>
          <w:b/>
          <w:color w:val="993556"/>
        </w:rPr>
        <w:t>★★☆ Meso — organisational dilemma</w:t>
      </w:r>
    </w:p>
    <w:p>
      <w:r>
        <w:rPr>
          <w:b/>
          <w:sz w:val="32"/>
        </w:rPr>
        <w:t>Friend drives under the influence of alcohol</w:t>
      </w:r>
    </w:p>
    <w:p>
      <w:pPr>
        <w:spacing w:after="240"/>
      </w:pPr>
      <w:r>
        <w:t>Sophie watches with dismay as Tom, her friend, climbs behind the wheel after an evening of drinking — as he always does. Fear gnaws at her: the risks are enormous. Tom, but also others, are in danger. She wants to shake him awake, but fears his reaction. Sophie struggles with the trade-off: Tom's safety versus their relationship.</w:t>
      </w:r>
    </w:p>
    <w:p>
      <w:r>
        <w:rPr>
          <w:b/>
        </w:rPr>
        <w:t>What would you do, and why?</w:t>
      </w:r>
    </w:p>
    <w:p>
      <w:r>
        <w:rPr>
          <w:b/>
        </w:rPr>
        <w:t>What values are at stake here?</w:t>
      </w:r>
    </w:p>
    <w:p>
      <w:r>
        <w:rPr>
          <w:i/>
          <w:color w:val="5F5E5A"/>
          <w:sz w:val="16"/>
        </w:rPr>
        <w:t>Micro/meso/macro distinction: working definition Lectoraat Ethisch Werken, inspired by Meijer (2023).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