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Micro — persoonlijke keuze</w:t>
      </w:r>
    </w:p>
    <w:p>
      <w:r>
        <w:rPr>
          <w:b/>
          <w:sz w:val="32"/>
        </w:rPr>
        <w:t>Het geleende geld</w:t>
      </w:r>
    </w:p>
    <w:p>
      <w:pPr>
        <w:spacing w:after="240"/>
      </w:pPr>
      <w:r>
        <w:t>Je was bijna klaar, maar onverwachte rekeningen gooiden roet in het eten. Nu zit je in de penarie. Je vriend, die je met een glimlach hielp, heeft het geld zelf hard nodig. Elke keer dat zijn naam op je scherm verschijnt, voel je schaamte. Hoe leg je uit dat je je belofte niet kunt nakomen? De spanning tussen vriendschap en financiële problemen is voelbaar.</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