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The unspoken rule</w:t>
      </w:r>
    </w:p>
    <w:p>
      <w:pPr>
        <w:spacing w:after="240"/>
      </w:pPr>
      <w:r>
        <w:rPr>
          <w:color w:val="4A5568"/>
          <w:sz w:val="22"/>
        </w:rPr>
        <w:t>Mr Van Dijk sets down his coffee in the staff room when colleague Tessa takes him aside. "Do you know that Smit and that boy from 5V have something going on?" she whispers. Van Dijk feels the ground drop away beneath him. Ms Smit, Dutch teacher, respected, always the first to call others out on boundary-crossing behaviour. Now it turns out she herself has been in a relationship with a seventeen-year-old student for months. It violates every school rule, every power imbalance he has always tried to guard against. Does he report it to the principal, knowing this could cost her her job and put the student in the spotlight? Or does he wait, hoping she will end it herself? Van Dijk places his hand on the handle of the principal's door. Does he open it?</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